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72"/>
        <w:gridCol w:w="2552"/>
        <w:gridCol w:w="2426"/>
      </w:tblGrid>
      <w:tr w:rsidR="006922AD" w:rsidRPr="001A22D3" w14:paraId="63C96879" w14:textId="77777777">
        <w:trPr>
          <w:cantSplit/>
          <w:trHeight w:val="418"/>
        </w:trPr>
        <w:tc>
          <w:tcPr>
            <w:tcW w:w="5172" w:type="dxa"/>
            <w:tcBorders>
              <w:top w:val="single" w:sz="4" w:space="0" w:color="auto"/>
              <w:bottom w:val="single" w:sz="4" w:space="0" w:color="auto"/>
              <w:right w:val="single" w:sz="4" w:space="0" w:color="auto"/>
            </w:tcBorders>
          </w:tcPr>
          <w:p w14:paraId="129FF162" w14:textId="77777777" w:rsidR="00112F34" w:rsidRDefault="00112F34" w:rsidP="00EF58F1">
            <w:pPr>
              <w:rPr>
                <w:rFonts w:asciiTheme="minorHAnsi" w:hAnsiTheme="minorHAnsi" w:cs="Arial"/>
                <w:b/>
                <w:sz w:val="22"/>
                <w:szCs w:val="22"/>
              </w:rPr>
            </w:pPr>
          </w:p>
          <w:p w14:paraId="1CFC0822" w14:textId="0743C0AF" w:rsidR="006922AD" w:rsidRPr="001A22D3" w:rsidRDefault="0086420B" w:rsidP="00EF58F1">
            <w:pPr>
              <w:rPr>
                <w:rFonts w:asciiTheme="minorHAnsi" w:hAnsiTheme="minorHAnsi" w:cs="Arial"/>
                <w:b/>
                <w:sz w:val="22"/>
                <w:szCs w:val="22"/>
              </w:rPr>
            </w:pPr>
            <w:r>
              <w:rPr>
                <w:rFonts w:asciiTheme="minorHAnsi" w:hAnsiTheme="minorHAnsi" w:cs="Arial"/>
                <w:b/>
                <w:sz w:val="22"/>
                <w:szCs w:val="22"/>
              </w:rPr>
              <w:t>Project Completion</w:t>
            </w:r>
            <w:r w:rsidR="00EA64CC">
              <w:rPr>
                <w:rFonts w:asciiTheme="minorHAnsi" w:hAnsiTheme="minorHAnsi" w:cs="Arial"/>
                <w:b/>
                <w:sz w:val="22"/>
                <w:szCs w:val="22"/>
              </w:rPr>
              <w:t xml:space="preserve"> Report 2013-2017</w:t>
            </w:r>
          </w:p>
        </w:tc>
        <w:tc>
          <w:tcPr>
            <w:tcW w:w="4978" w:type="dxa"/>
            <w:gridSpan w:val="2"/>
            <w:tcBorders>
              <w:left w:val="single" w:sz="4" w:space="0" w:color="auto"/>
              <w:bottom w:val="single" w:sz="4" w:space="0" w:color="auto"/>
            </w:tcBorders>
          </w:tcPr>
          <w:p w14:paraId="6119977A" w14:textId="0C4C4E2A" w:rsidR="006922AD" w:rsidRPr="001A22D3" w:rsidRDefault="003464F9" w:rsidP="00432993">
            <w:pPr>
              <w:pStyle w:val="Heading2"/>
              <w:numPr>
                <w:ilvl w:val="0"/>
                <w:numId w:val="0"/>
              </w:numPr>
              <w:ind w:left="73"/>
              <w:rPr>
                <w:rFonts w:asciiTheme="minorHAnsi" w:hAnsiTheme="minorHAnsi"/>
                <w:b w:val="0"/>
                <w:bCs w:val="0"/>
                <w:sz w:val="22"/>
                <w:szCs w:val="22"/>
              </w:rPr>
            </w:pPr>
            <w:r w:rsidRPr="001A22D3">
              <w:rPr>
                <w:rFonts w:asciiTheme="minorHAnsi" w:hAnsiTheme="minorHAnsi" w:cstheme="minorHAnsi"/>
                <w:sz w:val="22"/>
                <w:szCs w:val="22"/>
              </w:rPr>
              <w:t>Democratization, Human Rights and Civil Society Development Programme in Ukraine (DHRP)</w:t>
            </w:r>
          </w:p>
          <w:p w14:paraId="2DD51D15" w14:textId="77777777" w:rsidR="006922AD" w:rsidRPr="001A22D3" w:rsidRDefault="006922AD" w:rsidP="00EF58F1">
            <w:pPr>
              <w:rPr>
                <w:rFonts w:asciiTheme="minorHAnsi" w:hAnsiTheme="minorHAnsi"/>
                <w:sz w:val="22"/>
                <w:szCs w:val="22"/>
              </w:rPr>
            </w:pPr>
          </w:p>
        </w:tc>
      </w:tr>
      <w:tr w:rsidR="006922AD" w:rsidRPr="001A22D3" w14:paraId="3625D30D" w14:textId="77777777">
        <w:trPr>
          <w:cantSplit/>
          <w:trHeight w:val="418"/>
        </w:trPr>
        <w:tc>
          <w:tcPr>
            <w:tcW w:w="5172" w:type="dxa"/>
            <w:tcBorders>
              <w:top w:val="single" w:sz="4" w:space="0" w:color="auto"/>
              <w:left w:val="nil"/>
              <w:bottom w:val="nil"/>
              <w:right w:val="single" w:sz="4" w:space="0" w:color="auto"/>
            </w:tcBorders>
          </w:tcPr>
          <w:p w14:paraId="40B9CC7D" w14:textId="77777777" w:rsidR="006922AD" w:rsidRPr="001A22D3" w:rsidRDefault="006922AD" w:rsidP="00F44235">
            <w:pPr>
              <w:pStyle w:val="Heading1"/>
              <w:numPr>
                <w:ilvl w:val="0"/>
                <w:numId w:val="0"/>
              </w:numPr>
              <w:ind w:left="432"/>
              <w:rPr>
                <w:rFonts w:asciiTheme="minorHAnsi" w:hAnsiTheme="minorHAnsi"/>
                <w:sz w:val="22"/>
                <w:szCs w:val="22"/>
              </w:rPr>
            </w:pPr>
          </w:p>
        </w:tc>
        <w:tc>
          <w:tcPr>
            <w:tcW w:w="2552" w:type="dxa"/>
            <w:tcBorders>
              <w:top w:val="single" w:sz="4" w:space="0" w:color="auto"/>
              <w:left w:val="single" w:sz="4" w:space="0" w:color="auto"/>
              <w:bottom w:val="single" w:sz="4" w:space="0" w:color="auto"/>
            </w:tcBorders>
          </w:tcPr>
          <w:p w14:paraId="32E6ABC8" w14:textId="77777777" w:rsidR="006922AD" w:rsidRPr="001A22D3" w:rsidRDefault="006922AD" w:rsidP="00EF58F1">
            <w:pPr>
              <w:rPr>
                <w:rFonts w:asciiTheme="minorHAnsi" w:hAnsiTheme="minorHAnsi"/>
                <w:sz w:val="22"/>
                <w:szCs w:val="22"/>
              </w:rPr>
            </w:pPr>
          </w:p>
        </w:tc>
        <w:tc>
          <w:tcPr>
            <w:tcW w:w="2426" w:type="dxa"/>
            <w:tcBorders>
              <w:top w:val="single" w:sz="4" w:space="0" w:color="auto"/>
              <w:left w:val="single" w:sz="4" w:space="0" w:color="auto"/>
              <w:bottom w:val="single" w:sz="4" w:space="0" w:color="auto"/>
            </w:tcBorders>
          </w:tcPr>
          <w:p w14:paraId="5658DF5D" w14:textId="7457852C" w:rsidR="006922AD" w:rsidRPr="001A22D3" w:rsidRDefault="006922AD" w:rsidP="00263764">
            <w:pPr>
              <w:pStyle w:val="Heading2"/>
              <w:numPr>
                <w:ilvl w:val="0"/>
                <w:numId w:val="0"/>
              </w:numPr>
              <w:ind w:left="121"/>
              <w:rPr>
                <w:rFonts w:asciiTheme="minorHAnsi" w:hAnsiTheme="minorHAnsi"/>
                <w:b w:val="0"/>
                <w:bCs w:val="0"/>
                <w:sz w:val="22"/>
                <w:szCs w:val="22"/>
              </w:rPr>
            </w:pPr>
            <w:bookmarkStart w:id="0" w:name="_Toc417032761"/>
            <w:r w:rsidRPr="001A22D3">
              <w:rPr>
                <w:rFonts w:asciiTheme="minorHAnsi" w:hAnsiTheme="minorHAnsi"/>
                <w:b w:val="0"/>
                <w:bCs w:val="0"/>
                <w:sz w:val="22"/>
                <w:szCs w:val="22"/>
              </w:rPr>
              <w:t>Date:</w:t>
            </w:r>
            <w:bookmarkEnd w:id="0"/>
            <w:r w:rsidRPr="001A22D3">
              <w:rPr>
                <w:rFonts w:asciiTheme="minorHAnsi" w:hAnsiTheme="minorHAnsi"/>
                <w:b w:val="0"/>
                <w:bCs w:val="0"/>
                <w:sz w:val="22"/>
                <w:szCs w:val="22"/>
              </w:rPr>
              <w:t xml:space="preserve"> </w:t>
            </w:r>
            <w:r w:rsidR="00263764">
              <w:rPr>
                <w:rFonts w:asciiTheme="minorHAnsi" w:hAnsiTheme="minorHAnsi"/>
                <w:b w:val="0"/>
                <w:bCs w:val="0"/>
                <w:sz w:val="22"/>
                <w:szCs w:val="22"/>
              </w:rPr>
              <w:t xml:space="preserve">30 September </w:t>
            </w:r>
            <w:r w:rsidR="00EA64CC">
              <w:rPr>
                <w:rFonts w:asciiTheme="minorHAnsi" w:hAnsiTheme="minorHAnsi"/>
                <w:b w:val="0"/>
                <w:bCs w:val="0"/>
                <w:sz w:val="22"/>
                <w:szCs w:val="22"/>
              </w:rPr>
              <w:t>2017</w:t>
            </w:r>
          </w:p>
          <w:p w14:paraId="2A7DC61B" w14:textId="77777777" w:rsidR="006922AD" w:rsidRPr="001A22D3" w:rsidRDefault="006922AD" w:rsidP="00EF58F1">
            <w:pPr>
              <w:rPr>
                <w:rFonts w:asciiTheme="minorHAnsi" w:hAnsiTheme="minorHAnsi"/>
                <w:sz w:val="22"/>
                <w:szCs w:val="22"/>
              </w:rPr>
            </w:pPr>
          </w:p>
        </w:tc>
      </w:tr>
    </w:tbl>
    <w:p w14:paraId="641E5A02" w14:textId="77777777" w:rsidR="006922AD" w:rsidRPr="001A22D3" w:rsidRDefault="006922AD" w:rsidP="006922AD">
      <w:pPr>
        <w:rPr>
          <w:rFonts w:asciiTheme="minorHAnsi" w:hAnsiTheme="minorHAnsi"/>
          <w:sz w:val="22"/>
          <w:szCs w:val="22"/>
        </w:rPr>
      </w:pPr>
    </w:p>
    <w:tbl>
      <w:tblPr>
        <w:tblW w:w="101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75"/>
        <w:gridCol w:w="3510"/>
        <w:gridCol w:w="2286"/>
        <w:gridCol w:w="1471"/>
        <w:gridCol w:w="8"/>
        <w:gridCol w:w="15"/>
      </w:tblGrid>
      <w:tr w:rsidR="006922AD" w:rsidRPr="001A22D3" w14:paraId="30172845" w14:textId="77777777" w:rsidTr="001A2049">
        <w:trPr>
          <w:gridAfter w:val="1"/>
          <w:wAfter w:w="15" w:type="dxa"/>
        </w:trPr>
        <w:tc>
          <w:tcPr>
            <w:tcW w:w="10150" w:type="dxa"/>
            <w:gridSpan w:val="5"/>
          </w:tcPr>
          <w:p w14:paraId="7B6FF915" w14:textId="61C335D1" w:rsidR="006922AD" w:rsidRPr="001A22D3" w:rsidRDefault="006922AD" w:rsidP="00EF58F1">
            <w:pPr>
              <w:rPr>
                <w:rFonts w:asciiTheme="minorHAnsi" w:hAnsiTheme="minorHAnsi"/>
                <w:sz w:val="22"/>
                <w:szCs w:val="22"/>
              </w:rPr>
            </w:pPr>
            <w:r w:rsidRPr="001A22D3">
              <w:rPr>
                <w:rFonts w:asciiTheme="minorHAnsi" w:hAnsiTheme="minorHAnsi"/>
                <w:i/>
                <w:sz w:val="22"/>
                <w:szCs w:val="22"/>
              </w:rPr>
              <w:t>Progress reporting template in longer version, which is adjusted from the "General guidelines for grant admi</w:t>
            </w:r>
            <w:r w:rsidR="00563765">
              <w:rPr>
                <w:rFonts w:asciiTheme="minorHAnsi" w:hAnsiTheme="minorHAnsi"/>
                <w:i/>
                <w:sz w:val="22"/>
                <w:szCs w:val="22"/>
              </w:rPr>
              <w:t>nistration through Danish NGO’s</w:t>
            </w:r>
            <w:r w:rsidRPr="001A22D3">
              <w:rPr>
                <w:rFonts w:asciiTheme="minorHAnsi" w:hAnsiTheme="minorHAnsi"/>
                <w:i/>
                <w:sz w:val="22"/>
                <w:szCs w:val="22"/>
              </w:rPr>
              <w:t>." Revised 7</w:t>
            </w:r>
            <w:r w:rsidRPr="001A22D3">
              <w:rPr>
                <w:rFonts w:asciiTheme="minorHAnsi" w:hAnsiTheme="minorHAnsi"/>
                <w:i/>
                <w:sz w:val="22"/>
                <w:szCs w:val="22"/>
                <w:vertAlign w:val="superscript"/>
              </w:rPr>
              <w:t>th</w:t>
            </w:r>
            <w:r w:rsidRPr="001A22D3">
              <w:rPr>
                <w:rFonts w:asciiTheme="minorHAnsi" w:hAnsiTheme="minorHAnsi"/>
                <w:i/>
                <w:sz w:val="22"/>
                <w:szCs w:val="22"/>
              </w:rPr>
              <w:t xml:space="preserve"> of January 2015.</w:t>
            </w:r>
            <w:r w:rsidRPr="001A22D3">
              <w:rPr>
                <w:rFonts w:asciiTheme="minorHAnsi" w:hAnsiTheme="minorHAnsi"/>
                <w:sz w:val="22"/>
                <w:szCs w:val="22"/>
              </w:rPr>
              <w:t xml:space="preserve"> </w:t>
            </w:r>
          </w:p>
          <w:p w14:paraId="11B38C39" w14:textId="77777777" w:rsidR="006922AD" w:rsidRPr="001A22D3" w:rsidRDefault="006922AD" w:rsidP="00EF58F1">
            <w:pPr>
              <w:jc w:val="both"/>
              <w:rPr>
                <w:rFonts w:asciiTheme="minorHAnsi" w:hAnsiTheme="minorHAnsi"/>
                <w:sz w:val="22"/>
                <w:szCs w:val="22"/>
              </w:rPr>
            </w:pPr>
            <w:r w:rsidRPr="001A22D3">
              <w:rPr>
                <w:rFonts w:asciiTheme="minorHAnsi" w:hAnsiTheme="minorHAnsi"/>
                <w:i/>
                <w:sz w:val="22"/>
                <w:szCs w:val="22"/>
              </w:rPr>
              <w:t>Complete the form electronically in Word using Calibri 11 font. The report should be forwarded in English.</w:t>
            </w:r>
          </w:p>
        </w:tc>
      </w:tr>
      <w:tr w:rsidR="006922AD" w:rsidRPr="001A22D3" w14:paraId="2AECD1CE" w14:textId="77777777" w:rsidTr="00F65FC5">
        <w:tblPrEx>
          <w:tblBorders>
            <w:insideH w:val="single" w:sz="4" w:space="0" w:color="auto"/>
            <w:insideV w:val="single" w:sz="4" w:space="0" w:color="auto"/>
          </w:tblBorders>
        </w:tblPrEx>
        <w:trPr>
          <w:gridAfter w:val="2"/>
          <w:wAfter w:w="23" w:type="dxa"/>
          <w:cantSplit/>
          <w:trHeight w:val="470"/>
        </w:trPr>
        <w:tc>
          <w:tcPr>
            <w:tcW w:w="2875" w:type="dxa"/>
            <w:vMerge w:val="restart"/>
          </w:tcPr>
          <w:p w14:paraId="0370B670" w14:textId="77777777" w:rsidR="006922AD" w:rsidRPr="001A22D3" w:rsidRDefault="006922AD" w:rsidP="00EF58F1">
            <w:pPr>
              <w:pStyle w:val="FootnoteText"/>
              <w:rPr>
                <w:rFonts w:asciiTheme="minorHAnsi" w:hAnsiTheme="minorHAnsi" w:cs="Arial"/>
                <w:sz w:val="22"/>
                <w:szCs w:val="22"/>
                <w:lang w:val="en-GB"/>
              </w:rPr>
            </w:pPr>
            <w:r w:rsidRPr="001A22D3">
              <w:rPr>
                <w:rFonts w:asciiTheme="minorHAnsi" w:hAnsiTheme="minorHAnsi" w:cs="Arial"/>
                <w:b/>
                <w:bCs/>
                <w:sz w:val="22"/>
                <w:szCs w:val="22"/>
                <w:lang w:val="en-GB"/>
              </w:rPr>
              <w:t xml:space="preserve">Does this status report contain any information requiring specific decisions? </w:t>
            </w:r>
            <w:r w:rsidRPr="001A22D3">
              <w:rPr>
                <w:rFonts w:asciiTheme="minorHAnsi" w:hAnsiTheme="minorHAnsi" w:cs="Arial"/>
                <w:sz w:val="22"/>
                <w:szCs w:val="22"/>
                <w:lang w:val="en-GB"/>
              </w:rPr>
              <w:t xml:space="preserve">(e.g. changes in the project’s objectives, expected output or budgets?) </w:t>
            </w:r>
          </w:p>
        </w:tc>
        <w:tc>
          <w:tcPr>
            <w:tcW w:w="3510" w:type="dxa"/>
          </w:tcPr>
          <w:p w14:paraId="16139239" w14:textId="77777777" w:rsidR="006922AD" w:rsidRPr="001A22D3" w:rsidRDefault="006922AD" w:rsidP="00EF58F1">
            <w:pPr>
              <w:pStyle w:val="FootnoteText"/>
              <w:jc w:val="center"/>
              <w:rPr>
                <w:rFonts w:asciiTheme="minorHAnsi" w:hAnsiTheme="minorHAnsi" w:cs="Arial"/>
                <w:sz w:val="22"/>
                <w:szCs w:val="22"/>
                <w:lang w:val="en-GB"/>
              </w:rPr>
            </w:pPr>
            <w:r w:rsidRPr="001A22D3">
              <w:rPr>
                <w:rFonts w:asciiTheme="minorHAnsi" w:hAnsiTheme="minorHAnsi" w:cs="Arial"/>
                <w:sz w:val="22"/>
                <w:szCs w:val="22"/>
                <w:lang w:val="en-GB"/>
              </w:rPr>
              <w:t>YES</w:t>
            </w:r>
          </w:p>
          <w:p w14:paraId="07DD5CA4" w14:textId="77777777" w:rsidR="006922AD" w:rsidRPr="001A22D3" w:rsidRDefault="006922AD" w:rsidP="00EF58F1">
            <w:pPr>
              <w:pStyle w:val="FootnoteText"/>
              <w:jc w:val="center"/>
              <w:rPr>
                <w:rFonts w:asciiTheme="minorHAnsi" w:hAnsiTheme="minorHAnsi" w:cs="Arial"/>
                <w:sz w:val="22"/>
                <w:szCs w:val="22"/>
                <w:lang w:val="en-GB"/>
              </w:rPr>
            </w:pPr>
          </w:p>
        </w:tc>
        <w:tc>
          <w:tcPr>
            <w:tcW w:w="3757" w:type="dxa"/>
            <w:gridSpan w:val="2"/>
          </w:tcPr>
          <w:p w14:paraId="5237C170" w14:textId="77777777" w:rsidR="006922AD" w:rsidRPr="001A22D3" w:rsidRDefault="006922AD" w:rsidP="00EF58F1">
            <w:pPr>
              <w:pStyle w:val="FootnoteText"/>
              <w:rPr>
                <w:rFonts w:asciiTheme="minorHAnsi" w:hAnsiTheme="minorHAnsi" w:cs="Arial"/>
                <w:sz w:val="22"/>
                <w:szCs w:val="22"/>
                <w:lang w:val="en-GB"/>
              </w:rPr>
            </w:pPr>
            <w:r w:rsidRPr="001A22D3">
              <w:rPr>
                <w:rFonts w:asciiTheme="minorHAnsi" w:hAnsiTheme="minorHAnsi" w:cs="Arial"/>
                <w:sz w:val="22"/>
                <w:szCs w:val="22"/>
                <w:lang w:val="en-GB"/>
              </w:rPr>
              <w:t>In which point is it described?</w:t>
            </w:r>
          </w:p>
          <w:p w14:paraId="4004D8ED" w14:textId="77777777" w:rsidR="006922AD" w:rsidRPr="001A22D3" w:rsidRDefault="006922AD" w:rsidP="00EF58F1">
            <w:pPr>
              <w:pStyle w:val="FootnoteText"/>
              <w:rPr>
                <w:rFonts w:asciiTheme="minorHAnsi" w:hAnsiTheme="minorHAnsi" w:cs="Arial"/>
                <w:sz w:val="22"/>
                <w:szCs w:val="22"/>
                <w:lang w:val="en-GB"/>
              </w:rPr>
            </w:pPr>
            <w:r w:rsidRPr="001A22D3">
              <w:rPr>
                <w:rFonts w:asciiTheme="minorHAnsi" w:hAnsiTheme="minorHAnsi" w:cs="Arial"/>
                <w:sz w:val="22"/>
                <w:szCs w:val="22"/>
                <w:lang w:val="en-GB"/>
              </w:rPr>
              <w:t>Annexes X, Y and Z</w:t>
            </w:r>
          </w:p>
          <w:p w14:paraId="1502E3E0" w14:textId="77777777" w:rsidR="006922AD" w:rsidRPr="001A22D3" w:rsidRDefault="006922AD" w:rsidP="00EF58F1">
            <w:pPr>
              <w:pStyle w:val="FootnoteText"/>
              <w:rPr>
                <w:rFonts w:asciiTheme="minorHAnsi" w:hAnsiTheme="minorHAnsi" w:cs="Arial"/>
                <w:sz w:val="22"/>
                <w:szCs w:val="22"/>
                <w:lang w:val="en-GB"/>
              </w:rPr>
            </w:pPr>
          </w:p>
        </w:tc>
      </w:tr>
      <w:tr w:rsidR="006922AD" w:rsidRPr="001A22D3" w14:paraId="52DDB78D" w14:textId="77777777" w:rsidTr="00F65FC5">
        <w:tblPrEx>
          <w:tblBorders>
            <w:insideH w:val="single" w:sz="4" w:space="0" w:color="auto"/>
            <w:insideV w:val="single" w:sz="4" w:space="0" w:color="auto"/>
          </w:tblBorders>
        </w:tblPrEx>
        <w:trPr>
          <w:gridAfter w:val="2"/>
          <w:wAfter w:w="23" w:type="dxa"/>
          <w:cantSplit/>
        </w:trPr>
        <w:tc>
          <w:tcPr>
            <w:tcW w:w="2875" w:type="dxa"/>
            <w:vMerge/>
          </w:tcPr>
          <w:p w14:paraId="5A39A5F9" w14:textId="77777777" w:rsidR="006922AD" w:rsidRPr="001A22D3" w:rsidRDefault="006922AD" w:rsidP="00EF58F1">
            <w:pPr>
              <w:pStyle w:val="FootnoteText"/>
              <w:rPr>
                <w:rFonts w:asciiTheme="minorHAnsi" w:hAnsiTheme="minorHAnsi" w:cs="Arial"/>
                <w:sz w:val="22"/>
                <w:szCs w:val="22"/>
                <w:lang w:val="en-GB"/>
              </w:rPr>
            </w:pPr>
          </w:p>
        </w:tc>
        <w:tc>
          <w:tcPr>
            <w:tcW w:w="3510" w:type="dxa"/>
          </w:tcPr>
          <w:p w14:paraId="70A12F00" w14:textId="77777777" w:rsidR="006922AD" w:rsidRPr="001A22D3" w:rsidRDefault="006922AD" w:rsidP="008C5245">
            <w:pPr>
              <w:pStyle w:val="FootnoteText"/>
              <w:jc w:val="center"/>
              <w:rPr>
                <w:rFonts w:asciiTheme="minorHAnsi" w:hAnsiTheme="minorHAnsi" w:cs="Arial"/>
                <w:sz w:val="22"/>
                <w:szCs w:val="22"/>
                <w:lang w:val="en-GB"/>
              </w:rPr>
            </w:pPr>
            <w:r w:rsidRPr="001A22D3">
              <w:rPr>
                <w:rFonts w:asciiTheme="minorHAnsi" w:hAnsiTheme="minorHAnsi" w:cs="Arial"/>
                <w:b/>
                <w:sz w:val="22"/>
                <w:szCs w:val="22"/>
                <w:lang w:val="en-GB"/>
              </w:rPr>
              <w:t>NO</w:t>
            </w:r>
          </w:p>
        </w:tc>
        <w:tc>
          <w:tcPr>
            <w:tcW w:w="3757" w:type="dxa"/>
            <w:gridSpan w:val="2"/>
          </w:tcPr>
          <w:p w14:paraId="72950244" w14:textId="77777777" w:rsidR="006922AD" w:rsidRPr="001A22D3" w:rsidRDefault="006922AD" w:rsidP="00EF58F1">
            <w:pPr>
              <w:pStyle w:val="FootnoteText"/>
              <w:rPr>
                <w:rFonts w:asciiTheme="minorHAnsi" w:hAnsiTheme="minorHAnsi" w:cs="Arial"/>
                <w:sz w:val="22"/>
                <w:szCs w:val="22"/>
                <w:lang w:val="en-GB"/>
              </w:rPr>
            </w:pPr>
          </w:p>
          <w:p w14:paraId="5984E0DD" w14:textId="77777777" w:rsidR="006922AD" w:rsidRPr="001A22D3" w:rsidRDefault="006922AD" w:rsidP="00EF58F1">
            <w:pPr>
              <w:pStyle w:val="FootnoteText"/>
              <w:rPr>
                <w:rFonts w:asciiTheme="minorHAnsi" w:hAnsiTheme="minorHAnsi" w:cs="Arial"/>
                <w:sz w:val="22"/>
                <w:szCs w:val="22"/>
                <w:lang w:val="en-GB"/>
              </w:rPr>
            </w:pPr>
          </w:p>
          <w:p w14:paraId="59B3695B" w14:textId="77777777" w:rsidR="006922AD" w:rsidRPr="001A22D3" w:rsidRDefault="006922AD" w:rsidP="00EF58F1">
            <w:pPr>
              <w:pStyle w:val="FootnoteText"/>
              <w:rPr>
                <w:rFonts w:asciiTheme="minorHAnsi" w:hAnsiTheme="minorHAnsi" w:cs="Arial"/>
                <w:sz w:val="22"/>
                <w:szCs w:val="22"/>
                <w:lang w:val="en-GB"/>
              </w:rPr>
            </w:pPr>
          </w:p>
        </w:tc>
      </w:tr>
      <w:tr w:rsidR="006922AD" w:rsidRPr="001A22D3" w14:paraId="0CB59FB2" w14:textId="77777777" w:rsidTr="00F65FC5">
        <w:tblPrEx>
          <w:tblBorders>
            <w:insideH w:val="single" w:sz="4" w:space="0" w:color="auto"/>
            <w:insideV w:val="single" w:sz="4" w:space="0" w:color="auto"/>
          </w:tblBorders>
        </w:tblPrEx>
        <w:trPr>
          <w:gridAfter w:val="2"/>
          <w:wAfter w:w="23" w:type="dxa"/>
          <w:cantSplit/>
        </w:trPr>
        <w:tc>
          <w:tcPr>
            <w:tcW w:w="2875" w:type="dxa"/>
          </w:tcPr>
          <w:p w14:paraId="1ED780DB" w14:textId="77777777" w:rsidR="006922AD" w:rsidRPr="001A22D3" w:rsidRDefault="006922AD" w:rsidP="00EF58F1">
            <w:pPr>
              <w:pStyle w:val="FootnoteText"/>
              <w:tabs>
                <w:tab w:val="left" w:pos="567"/>
              </w:tabs>
              <w:rPr>
                <w:rFonts w:asciiTheme="minorHAnsi" w:hAnsiTheme="minorHAnsi" w:cs="Arial"/>
                <w:b/>
                <w:bCs/>
                <w:sz w:val="22"/>
                <w:szCs w:val="22"/>
                <w:lang w:val="en-GB"/>
              </w:rPr>
            </w:pPr>
            <w:r w:rsidRPr="001A22D3">
              <w:rPr>
                <w:rFonts w:asciiTheme="minorHAnsi" w:hAnsiTheme="minorHAnsi" w:cs="Arial"/>
                <w:b/>
                <w:bCs/>
                <w:sz w:val="22"/>
                <w:szCs w:val="22"/>
                <w:lang w:val="en-GB"/>
              </w:rPr>
              <w:t>1.  File no.</w:t>
            </w:r>
          </w:p>
        </w:tc>
        <w:tc>
          <w:tcPr>
            <w:tcW w:w="7267" w:type="dxa"/>
            <w:gridSpan w:val="3"/>
          </w:tcPr>
          <w:p w14:paraId="4C7702DC" w14:textId="77777777" w:rsidR="006922AD" w:rsidRPr="001A22D3" w:rsidRDefault="00E947E4" w:rsidP="00EF58F1">
            <w:pPr>
              <w:pStyle w:val="FootnoteText"/>
              <w:tabs>
                <w:tab w:val="left" w:pos="567"/>
              </w:tabs>
              <w:rPr>
                <w:rFonts w:asciiTheme="minorHAnsi" w:hAnsiTheme="minorHAnsi" w:cs="Arial"/>
                <w:b/>
                <w:bCs/>
                <w:sz w:val="22"/>
                <w:szCs w:val="22"/>
                <w:lang w:val="en-GB"/>
              </w:rPr>
            </w:pPr>
            <w:r w:rsidRPr="001A22D3">
              <w:rPr>
                <w:rFonts w:asciiTheme="minorHAnsi" w:hAnsiTheme="minorHAnsi" w:cstheme="minorHAnsi"/>
                <w:sz w:val="22"/>
                <w:szCs w:val="22"/>
                <w:lang w:val="en-GB"/>
              </w:rPr>
              <w:t>403.A.20-1-1 (UNDP Ukraine)</w:t>
            </w:r>
          </w:p>
        </w:tc>
      </w:tr>
      <w:tr w:rsidR="006922AD" w:rsidRPr="001A22D3" w14:paraId="2FDD28A6" w14:textId="77777777" w:rsidTr="00F65FC5">
        <w:tblPrEx>
          <w:tblBorders>
            <w:insideH w:val="single" w:sz="4" w:space="0" w:color="auto"/>
            <w:insideV w:val="single" w:sz="4" w:space="0" w:color="auto"/>
          </w:tblBorders>
        </w:tblPrEx>
        <w:trPr>
          <w:gridAfter w:val="2"/>
          <w:wAfter w:w="23" w:type="dxa"/>
        </w:trPr>
        <w:tc>
          <w:tcPr>
            <w:tcW w:w="2875" w:type="dxa"/>
          </w:tcPr>
          <w:p w14:paraId="2EBC271D" w14:textId="77777777" w:rsidR="006922AD" w:rsidRPr="001A22D3" w:rsidRDefault="00146898" w:rsidP="00EF58F1">
            <w:pPr>
              <w:rPr>
                <w:rStyle w:val="Style11pt"/>
                <w:rFonts w:asciiTheme="minorHAnsi" w:hAnsiTheme="minorHAnsi"/>
                <w:sz w:val="22"/>
                <w:szCs w:val="22"/>
              </w:rPr>
            </w:pPr>
            <w:r w:rsidRPr="001A22D3">
              <w:rPr>
                <w:rStyle w:val="Style11pt"/>
                <w:rFonts w:asciiTheme="minorHAnsi" w:hAnsiTheme="minorHAnsi"/>
                <w:b/>
                <w:sz w:val="22"/>
                <w:szCs w:val="22"/>
              </w:rPr>
              <w:t>2.</w:t>
            </w:r>
            <w:r w:rsidR="006922AD" w:rsidRPr="001A22D3">
              <w:rPr>
                <w:rStyle w:val="Style11pt"/>
                <w:rFonts w:asciiTheme="minorHAnsi" w:hAnsiTheme="minorHAnsi"/>
                <w:sz w:val="22"/>
                <w:szCs w:val="22"/>
              </w:rPr>
              <w:t xml:space="preserve">  </w:t>
            </w:r>
            <w:r w:rsidR="006922AD" w:rsidRPr="001A22D3">
              <w:rPr>
                <w:rStyle w:val="Style11pt"/>
                <w:rFonts w:asciiTheme="minorHAnsi" w:hAnsiTheme="minorHAnsi"/>
                <w:b/>
                <w:sz w:val="22"/>
                <w:szCs w:val="22"/>
              </w:rPr>
              <w:t>Contact person and email</w:t>
            </w:r>
          </w:p>
          <w:p w14:paraId="033546E6" w14:textId="77777777" w:rsidR="006922AD" w:rsidRPr="001A22D3" w:rsidRDefault="006922AD" w:rsidP="00EF58F1">
            <w:pPr>
              <w:rPr>
                <w:rFonts w:asciiTheme="minorHAnsi" w:hAnsiTheme="minorHAnsi" w:cs="Arial"/>
                <w:sz w:val="22"/>
                <w:szCs w:val="22"/>
              </w:rPr>
            </w:pPr>
          </w:p>
        </w:tc>
        <w:tc>
          <w:tcPr>
            <w:tcW w:w="7267" w:type="dxa"/>
            <w:gridSpan w:val="3"/>
          </w:tcPr>
          <w:p w14:paraId="2DEDA459" w14:textId="77777777" w:rsidR="006922AD" w:rsidRPr="001A22D3" w:rsidRDefault="00E947E4" w:rsidP="00EF58F1">
            <w:pPr>
              <w:rPr>
                <w:rFonts w:asciiTheme="minorHAnsi" w:hAnsiTheme="minorHAnsi" w:cstheme="minorHAnsi"/>
                <w:sz w:val="22"/>
                <w:szCs w:val="22"/>
              </w:rPr>
            </w:pPr>
            <w:r w:rsidRPr="001A22D3">
              <w:rPr>
                <w:rFonts w:asciiTheme="minorHAnsi" w:hAnsiTheme="minorHAnsi" w:cstheme="minorHAnsi"/>
                <w:sz w:val="22"/>
                <w:szCs w:val="22"/>
              </w:rPr>
              <w:t>Mrs. Olena Ursu – Project Coordinator (</w:t>
            </w:r>
            <w:hyperlink r:id="rId11" w:history="1">
              <w:r w:rsidRPr="001A22D3">
                <w:rPr>
                  <w:rStyle w:val="Hyperlink"/>
                  <w:rFonts w:asciiTheme="minorHAnsi" w:hAnsiTheme="minorHAnsi" w:cstheme="minorHAnsi"/>
                  <w:color w:val="auto"/>
                  <w:sz w:val="22"/>
                  <w:szCs w:val="22"/>
                </w:rPr>
                <w:t>olena.ursu@undp.org</w:t>
              </w:r>
            </w:hyperlink>
            <w:r w:rsidRPr="001A22D3">
              <w:rPr>
                <w:rFonts w:asciiTheme="minorHAnsi" w:hAnsiTheme="minorHAnsi" w:cstheme="minorHAnsi"/>
                <w:sz w:val="22"/>
                <w:szCs w:val="22"/>
              </w:rPr>
              <w:t>)</w:t>
            </w:r>
          </w:p>
          <w:p w14:paraId="10C6A60E" w14:textId="77777777" w:rsidR="00E947E4" w:rsidRPr="001A22D3" w:rsidRDefault="00E947E4" w:rsidP="00EF58F1">
            <w:pPr>
              <w:rPr>
                <w:rFonts w:asciiTheme="minorHAnsi" w:hAnsiTheme="minorHAnsi" w:cs="Arial"/>
                <w:sz w:val="22"/>
                <w:szCs w:val="22"/>
              </w:rPr>
            </w:pPr>
            <w:r w:rsidRPr="001A22D3">
              <w:rPr>
                <w:rFonts w:asciiTheme="minorHAnsi" w:hAnsiTheme="minorHAnsi" w:cstheme="minorHAnsi"/>
                <w:sz w:val="22"/>
                <w:szCs w:val="22"/>
              </w:rPr>
              <w:t>United Nations Development Programme in Ukraine</w:t>
            </w:r>
          </w:p>
        </w:tc>
      </w:tr>
      <w:tr w:rsidR="006922AD" w:rsidRPr="001A22D3" w14:paraId="21A517A2" w14:textId="77777777" w:rsidTr="00F65FC5">
        <w:tblPrEx>
          <w:tblBorders>
            <w:insideH w:val="single" w:sz="4" w:space="0" w:color="auto"/>
            <w:insideV w:val="single" w:sz="4" w:space="0" w:color="auto"/>
          </w:tblBorders>
        </w:tblPrEx>
        <w:trPr>
          <w:gridAfter w:val="2"/>
          <w:wAfter w:w="23" w:type="dxa"/>
          <w:cantSplit/>
        </w:trPr>
        <w:tc>
          <w:tcPr>
            <w:tcW w:w="2875" w:type="dxa"/>
            <w:tcBorders>
              <w:top w:val="nil"/>
            </w:tcBorders>
          </w:tcPr>
          <w:p w14:paraId="526D3FAC" w14:textId="77777777" w:rsidR="006922AD" w:rsidRPr="001A22D3" w:rsidRDefault="006922AD" w:rsidP="00EF58F1">
            <w:pPr>
              <w:rPr>
                <w:rFonts w:asciiTheme="minorHAnsi" w:hAnsiTheme="minorHAnsi" w:cs="Arial"/>
                <w:b/>
                <w:bCs/>
                <w:sz w:val="22"/>
                <w:szCs w:val="22"/>
              </w:rPr>
            </w:pPr>
            <w:r w:rsidRPr="001A22D3">
              <w:rPr>
                <w:rFonts w:asciiTheme="minorHAnsi" w:hAnsiTheme="minorHAnsi" w:cs="Arial"/>
                <w:b/>
                <w:bCs/>
                <w:sz w:val="22"/>
                <w:szCs w:val="22"/>
              </w:rPr>
              <w:t>3.  Pro</w:t>
            </w:r>
            <w:r w:rsidR="00146898" w:rsidRPr="001A22D3">
              <w:rPr>
                <w:rFonts w:asciiTheme="minorHAnsi" w:hAnsiTheme="minorHAnsi" w:cs="Arial"/>
                <w:b/>
                <w:bCs/>
                <w:sz w:val="22"/>
                <w:szCs w:val="22"/>
              </w:rPr>
              <w:t>gramme</w:t>
            </w:r>
            <w:r w:rsidRPr="001A22D3">
              <w:rPr>
                <w:rFonts w:asciiTheme="minorHAnsi" w:hAnsiTheme="minorHAnsi" w:cs="Arial"/>
                <w:b/>
                <w:bCs/>
                <w:sz w:val="22"/>
                <w:szCs w:val="22"/>
              </w:rPr>
              <w:t xml:space="preserve"> title</w:t>
            </w:r>
          </w:p>
          <w:p w14:paraId="44307B62" w14:textId="77777777" w:rsidR="006922AD" w:rsidRPr="001A22D3" w:rsidRDefault="006922AD" w:rsidP="00EF58F1">
            <w:pPr>
              <w:rPr>
                <w:rFonts w:asciiTheme="minorHAnsi" w:hAnsiTheme="minorHAnsi" w:cs="Arial"/>
                <w:b/>
                <w:bCs/>
                <w:sz w:val="22"/>
                <w:szCs w:val="22"/>
              </w:rPr>
            </w:pPr>
          </w:p>
        </w:tc>
        <w:tc>
          <w:tcPr>
            <w:tcW w:w="7267" w:type="dxa"/>
            <w:gridSpan w:val="3"/>
            <w:tcBorders>
              <w:top w:val="nil"/>
            </w:tcBorders>
          </w:tcPr>
          <w:p w14:paraId="12FA2689" w14:textId="77777777" w:rsidR="006922AD" w:rsidRPr="001A22D3" w:rsidRDefault="00E947E4" w:rsidP="00EF58F1">
            <w:pPr>
              <w:rPr>
                <w:rStyle w:val="Style11pt"/>
                <w:rFonts w:asciiTheme="minorHAnsi" w:hAnsiTheme="minorHAnsi"/>
                <w:sz w:val="22"/>
                <w:szCs w:val="22"/>
              </w:rPr>
            </w:pPr>
            <w:r w:rsidRPr="001A22D3">
              <w:rPr>
                <w:rFonts w:asciiTheme="minorHAnsi" w:hAnsiTheme="minorHAnsi" w:cstheme="minorHAnsi"/>
                <w:sz w:val="22"/>
                <w:szCs w:val="22"/>
              </w:rPr>
              <w:t>Democratization, Human Rights and Civil Society Development Programme in Ukraine (DHRP)</w:t>
            </w:r>
          </w:p>
        </w:tc>
      </w:tr>
      <w:tr w:rsidR="006922AD" w:rsidRPr="001A22D3" w14:paraId="7ADC7BB2" w14:textId="77777777" w:rsidTr="00F65FC5">
        <w:tblPrEx>
          <w:tblBorders>
            <w:insideH w:val="single" w:sz="4" w:space="0" w:color="auto"/>
            <w:insideV w:val="single" w:sz="4" w:space="0" w:color="auto"/>
          </w:tblBorders>
        </w:tblPrEx>
        <w:trPr>
          <w:gridAfter w:val="2"/>
          <w:wAfter w:w="23" w:type="dxa"/>
          <w:cantSplit/>
        </w:trPr>
        <w:tc>
          <w:tcPr>
            <w:tcW w:w="2875" w:type="dxa"/>
            <w:tcBorders>
              <w:top w:val="nil"/>
            </w:tcBorders>
          </w:tcPr>
          <w:p w14:paraId="55886EBA" w14:textId="77777777" w:rsidR="006922AD" w:rsidRPr="001A22D3" w:rsidRDefault="006922AD" w:rsidP="00EF58F1">
            <w:pPr>
              <w:rPr>
                <w:rFonts w:asciiTheme="minorHAnsi" w:hAnsiTheme="minorHAnsi" w:cs="Arial"/>
                <w:b/>
                <w:bCs/>
                <w:sz w:val="22"/>
                <w:szCs w:val="22"/>
              </w:rPr>
            </w:pPr>
            <w:r w:rsidRPr="001A22D3">
              <w:rPr>
                <w:rFonts w:asciiTheme="minorHAnsi" w:hAnsiTheme="minorHAnsi" w:cs="Arial"/>
                <w:b/>
                <w:bCs/>
                <w:sz w:val="22"/>
                <w:szCs w:val="22"/>
              </w:rPr>
              <w:t xml:space="preserve">4.  Total budget (DKK) </w:t>
            </w:r>
          </w:p>
          <w:p w14:paraId="79C8C8C2" w14:textId="35B51049" w:rsidR="006922AD" w:rsidRPr="001A22D3" w:rsidRDefault="006922AD" w:rsidP="00236069">
            <w:pPr>
              <w:rPr>
                <w:rFonts w:asciiTheme="minorHAnsi" w:hAnsiTheme="minorHAnsi" w:cs="Arial"/>
                <w:sz w:val="22"/>
                <w:szCs w:val="22"/>
              </w:rPr>
            </w:pPr>
            <w:r w:rsidRPr="001A22D3">
              <w:rPr>
                <w:rStyle w:val="Style11pt"/>
                <w:rFonts w:asciiTheme="minorHAnsi" w:hAnsiTheme="minorHAnsi"/>
                <w:sz w:val="22"/>
                <w:szCs w:val="22"/>
              </w:rPr>
              <w:t>and accumulated expenditures</w:t>
            </w:r>
            <w:r w:rsidR="00236069">
              <w:rPr>
                <w:rStyle w:val="Style11pt"/>
                <w:rFonts w:asciiTheme="minorHAnsi" w:hAnsiTheme="minorHAnsi"/>
                <w:sz w:val="22"/>
                <w:szCs w:val="22"/>
              </w:rPr>
              <w:t xml:space="preserve"> </w:t>
            </w:r>
            <w:r w:rsidRPr="001A22D3">
              <w:rPr>
                <w:rStyle w:val="Style11pt"/>
                <w:rFonts w:asciiTheme="minorHAnsi" w:hAnsiTheme="minorHAnsi"/>
                <w:sz w:val="22"/>
                <w:szCs w:val="22"/>
              </w:rPr>
              <w:t>in the end of reporting period.</w:t>
            </w:r>
          </w:p>
        </w:tc>
        <w:tc>
          <w:tcPr>
            <w:tcW w:w="7267" w:type="dxa"/>
            <w:gridSpan w:val="3"/>
            <w:tcBorders>
              <w:top w:val="nil"/>
            </w:tcBorders>
          </w:tcPr>
          <w:p w14:paraId="6CF95A11" w14:textId="6FCA4C0F" w:rsidR="0096068B" w:rsidRPr="0096068B" w:rsidRDefault="0069202C" w:rsidP="0096068B">
            <w:pPr>
              <w:jc w:val="both"/>
              <w:rPr>
                <w:rFonts w:asciiTheme="minorHAnsi" w:hAnsiTheme="minorHAnsi" w:cs="Times New Roman"/>
                <w:sz w:val="22"/>
                <w:szCs w:val="22"/>
                <w:lang w:val="en-US" w:eastAsia="en-US"/>
              </w:rPr>
            </w:pPr>
            <w:r w:rsidRPr="0096068B">
              <w:rPr>
                <w:rFonts w:asciiTheme="minorHAnsi" w:hAnsiTheme="minorHAnsi"/>
                <w:sz w:val="22"/>
                <w:szCs w:val="22"/>
              </w:rPr>
              <w:t>Budget</w:t>
            </w:r>
            <w:r w:rsidR="0096068B" w:rsidRPr="0096068B">
              <w:rPr>
                <w:rFonts w:asciiTheme="minorHAnsi" w:hAnsiTheme="minorHAnsi"/>
                <w:sz w:val="22"/>
                <w:szCs w:val="22"/>
              </w:rPr>
              <w:t xml:space="preserve"> 2013-2017</w:t>
            </w:r>
            <w:r w:rsidRPr="0096068B">
              <w:rPr>
                <w:rFonts w:asciiTheme="minorHAnsi" w:hAnsiTheme="minorHAnsi"/>
                <w:sz w:val="22"/>
                <w:szCs w:val="22"/>
              </w:rPr>
              <w:t>: DKK 23,591,200</w:t>
            </w:r>
            <w:r w:rsidR="0096068B" w:rsidRPr="0096068B">
              <w:rPr>
                <w:rFonts w:asciiTheme="minorHAnsi" w:hAnsiTheme="minorHAnsi"/>
                <w:sz w:val="22"/>
                <w:szCs w:val="22"/>
                <w:lang w:val="en-US"/>
              </w:rPr>
              <w:t>; USD 4,078,516</w:t>
            </w:r>
          </w:p>
          <w:p w14:paraId="5DC21CEC" w14:textId="3F0E9204" w:rsidR="006922AD" w:rsidRPr="0096068B" w:rsidRDefault="0069202C" w:rsidP="0096068B">
            <w:pPr>
              <w:jc w:val="both"/>
              <w:rPr>
                <w:rFonts w:asciiTheme="minorHAnsi" w:hAnsiTheme="minorHAnsi" w:cs="Times New Roman"/>
                <w:sz w:val="22"/>
                <w:szCs w:val="22"/>
                <w:lang w:val="en-US" w:eastAsia="en-US"/>
              </w:rPr>
            </w:pPr>
            <w:r w:rsidRPr="0096068B">
              <w:rPr>
                <w:rFonts w:asciiTheme="minorHAnsi" w:hAnsiTheme="minorHAnsi"/>
                <w:sz w:val="22"/>
                <w:szCs w:val="22"/>
              </w:rPr>
              <w:t>Accumulated expenditures 2013-201</w:t>
            </w:r>
            <w:r w:rsidR="005A7DC6" w:rsidRPr="0096068B">
              <w:rPr>
                <w:rFonts w:asciiTheme="minorHAnsi" w:hAnsiTheme="minorHAnsi"/>
                <w:sz w:val="22"/>
                <w:szCs w:val="22"/>
              </w:rPr>
              <w:t>7</w:t>
            </w:r>
            <w:r w:rsidRPr="0096068B">
              <w:rPr>
                <w:rFonts w:asciiTheme="minorHAnsi" w:hAnsiTheme="minorHAnsi"/>
                <w:sz w:val="22"/>
                <w:szCs w:val="22"/>
              </w:rPr>
              <w:t xml:space="preserve">: DKK </w:t>
            </w:r>
            <w:r w:rsidR="0096068B" w:rsidRPr="0096068B">
              <w:rPr>
                <w:rFonts w:asciiTheme="minorHAnsi" w:hAnsiTheme="minorHAnsi"/>
                <w:sz w:val="22"/>
                <w:szCs w:val="22"/>
              </w:rPr>
              <w:t>23,517,553; USD 3,970,777</w:t>
            </w:r>
          </w:p>
        </w:tc>
      </w:tr>
      <w:tr w:rsidR="006922AD" w:rsidRPr="001A22D3" w14:paraId="60A07315" w14:textId="77777777" w:rsidTr="00F57F96">
        <w:tblPrEx>
          <w:tblBorders>
            <w:insideH w:val="single" w:sz="4" w:space="0" w:color="auto"/>
            <w:insideV w:val="single" w:sz="4" w:space="0" w:color="auto"/>
          </w:tblBorders>
        </w:tblPrEx>
        <w:trPr>
          <w:gridAfter w:val="2"/>
          <w:wAfter w:w="23" w:type="dxa"/>
          <w:cantSplit/>
          <w:trHeight w:val="260"/>
        </w:trPr>
        <w:tc>
          <w:tcPr>
            <w:tcW w:w="10142" w:type="dxa"/>
            <w:gridSpan w:val="4"/>
          </w:tcPr>
          <w:p w14:paraId="7782666E" w14:textId="77777777" w:rsidR="006922AD" w:rsidRPr="001A22D3" w:rsidRDefault="006922AD" w:rsidP="00720B2B">
            <w:pPr>
              <w:pStyle w:val="Heading9"/>
              <w:numPr>
                <w:ilvl w:val="0"/>
                <w:numId w:val="0"/>
              </w:numPr>
              <w:rPr>
                <w:rFonts w:asciiTheme="minorHAnsi" w:hAnsiTheme="minorHAnsi"/>
                <w:b/>
                <w:bCs/>
              </w:rPr>
            </w:pPr>
            <w:r w:rsidRPr="001A22D3">
              <w:rPr>
                <w:rFonts w:asciiTheme="minorHAnsi" w:hAnsiTheme="minorHAnsi"/>
                <w:b/>
              </w:rPr>
              <w:t>6.  Pro</w:t>
            </w:r>
            <w:r w:rsidR="00720B2B" w:rsidRPr="001A22D3">
              <w:rPr>
                <w:rFonts w:asciiTheme="minorHAnsi" w:hAnsiTheme="minorHAnsi"/>
                <w:b/>
              </w:rPr>
              <w:t>gramme</w:t>
            </w:r>
            <w:r w:rsidRPr="001A22D3">
              <w:rPr>
                <w:rFonts w:asciiTheme="minorHAnsi" w:hAnsiTheme="minorHAnsi"/>
                <w:b/>
              </w:rPr>
              <w:t xml:space="preserve"> period</w:t>
            </w:r>
          </w:p>
        </w:tc>
      </w:tr>
      <w:tr w:rsidR="006922AD" w:rsidRPr="001A22D3" w14:paraId="6D4D0384" w14:textId="77777777" w:rsidTr="00F65FC5">
        <w:tblPrEx>
          <w:tblBorders>
            <w:insideH w:val="single" w:sz="4" w:space="0" w:color="auto"/>
            <w:insideV w:val="single" w:sz="4" w:space="0" w:color="auto"/>
          </w:tblBorders>
        </w:tblPrEx>
        <w:trPr>
          <w:gridAfter w:val="2"/>
          <w:wAfter w:w="23" w:type="dxa"/>
          <w:cantSplit/>
        </w:trPr>
        <w:tc>
          <w:tcPr>
            <w:tcW w:w="2875" w:type="dxa"/>
          </w:tcPr>
          <w:p w14:paraId="066BE6D7" w14:textId="77777777" w:rsidR="006922AD" w:rsidRPr="001A22D3" w:rsidRDefault="006922AD" w:rsidP="00EF58F1">
            <w:pPr>
              <w:rPr>
                <w:rStyle w:val="Style11pt"/>
                <w:rFonts w:asciiTheme="minorHAnsi" w:hAnsiTheme="minorHAnsi"/>
                <w:sz w:val="22"/>
                <w:szCs w:val="22"/>
              </w:rPr>
            </w:pPr>
            <w:r w:rsidRPr="001A22D3">
              <w:rPr>
                <w:rFonts w:asciiTheme="minorHAnsi" w:hAnsiTheme="minorHAnsi" w:cs="Arial"/>
                <w:b/>
                <w:sz w:val="22"/>
                <w:szCs w:val="22"/>
              </w:rPr>
              <w:t xml:space="preserve">     Start</w:t>
            </w:r>
            <w:r w:rsidRPr="001A22D3">
              <w:rPr>
                <w:rStyle w:val="Style11pt"/>
                <w:rFonts w:asciiTheme="minorHAnsi" w:hAnsiTheme="minorHAnsi"/>
                <w:sz w:val="22"/>
                <w:szCs w:val="22"/>
              </w:rPr>
              <w:t xml:space="preserve"> (day/month/year)</w:t>
            </w:r>
          </w:p>
          <w:p w14:paraId="74838365" w14:textId="77777777" w:rsidR="006922AD" w:rsidRPr="001A22D3" w:rsidRDefault="006A5C49" w:rsidP="00EF58F1">
            <w:pPr>
              <w:rPr>
                <w:rFonts w:asciiTheme="minorHAnsi" w:hAnsiTheme="minorHAnsi" w:cs="Arial"/>
                <w:sz w:val="22"/>
                <w:szCs w:val="22"/>
              </w:rPr>
            </w:pPr>
            <w:r w:rsidRPr="001A22D3">
              <w:rPr>
                <w:rFonts w:asciiTheme="minorHAnsi" w:hAnsiTheme="minorHAnsi" w:cs="Arial"/>
                <w:sz w:val="22"/>
                <w:szCs w:val="22"/>
              </w:rPr>
              <w:t xml:space="preserve">     1 January 2013</w:t>
            </w:r>
          </w:p>
        </w:tc>
        <w:tc>
          <w:tcPr>
            <w:tcW w:w="5796" w:type="dxa"/>
            <w:gridSpan w:val="2"/>
          </w:tcPr>
          <w:p w14:paraId="7454A9DB" w14:textId="77777777" w:rsidR="006922AD" w:rsidRPr="001A22D3" w:rsidRDefault="006922AD" w:rsidP="00EF58F1">
            <w:pPr>
              <w:rPr>
                <w:rStyle w:val="Style11pt"/>
                <w:rFonts w:asciiTheme="minorHAnsi" w:hAnsiTheme="minorHAnsi"/>
                <w:sz w:val="22"/>
                <w:szCs w:val="22"/>
              </w:rPr>
            </w:pPr>
            <w:r w:rsidRPr="001A22D3">
              <w:rPr>
                <w:rFonts w:asciiTheme="minorHAnsi" w:hAnsiTheme="minorHAnsi" w:cs="Arial"/>
                <w:b/>
                <w:sz w:val="22"/>
                <w:szCs w:val="22"/>
              </w:rPr>
              <w:t xml:space="preserve">Completion </w:t>
            </w:r>
            <w:r w:rsidRPr="001A22D3">
              <w:rPr>
                <w:rStyle w:val="Style11pt"/>
                <w:rFonts w:asciiTheme="minorHAnsi" w:hAnsiTheme="minorHAnsi"/>
                <w:sz w:val="22"/>
                <w:szCs w:val="22"/>
              </w:rPr>
              <w:t>(day/month/year)</w:t>
            </w:r>
          </w:p>
          <w:p w14:paraId="6F05339D" w14:textId="77777777" w:rsidR="006922AD" w:rsidRPr="001A22D3" w:rsidRDefault="006A5C49" w:rsidP="006D7DB4">
            <w:pPr>
              <w:rPr>
                <w:rFonts w:asciiTheme="minorHAnsi" w:hAnsiTheme="minorHAnsi" w:cs="Arial"/>
                <w:sz w:val="22"/>
                <w:szCs w:val="22"/>
              </w:rPr>
            </w:pPr>
            <w:r w:rsidRPr="001A22D3">
              <w:rPr>
                <w:rFonts w:asciiTheme="minorHAnsi" w:hAnsiTheme="minorHAnsi" w:cs="Arial"/>
                <w:sz w:val="22"/>
                <w:szCs w:val="22"/>
              </w:rPr>
              <w:t xml:space="preserve">31 </w:t>
            </w:r>
            <w:r w:rsidR="006D7DB4">
              <w:rPr>
                <w:rFonts w:asciiTheme="minorHAnsi" w:hAnsiTheme="minorHAnsi" w:cs="Arial"/>
                <w:sz w:val="22"/>
                <w:szCs w:val="22"/>
              </w:rPr>
              <w:t>March</w:t>
            </w:r>
            <w:r w:rsidRPr="001A22D3">
              <w:rPr>
                <w:rFonts w:asciiTheme="minorHAnsi" w:hAnsiTheme="minorHAnsi" w:cs="Arial"/>
                <w:sz w:val="22"/>
                <w:szCs w:val="22"/>
              </w:rPr>
              <w:t xml:space="preserve"> 201</w:t>
            </w:r>
            <w:r w:rsidR="006D7DB4">
              <w:rPr>
                <w:rFonts w:asciiTheme="minorHAnsi" w:hAnsiTheme="minorHAnsi" w:cs="Arial"/>
                <w:sz w:val="22"/>
                <w:szCs w:val="22"/>
              </w:rPr>
              <w:t>7</w:t>
            </w:r>
          </w:p>
        </w:tc>
        <w:tc>
          <w:tcPr>
            <w:tcW w:w="1471" w:type="dxa"/>
          </w:tcPr>
          <w:p w14:paraId="3599EE05" w14:textId="77777777" w:rsidR="006922AD" w:rsidRPr="001A22D3" w:rsidRDefault="006922AD" w:rsidP="00EF58F1">
            <w:pPr>
              <w:pStyle w:val="FootnoteText"/>
              <w:rPr>
                <w:rFonts w:asciiTheme="minorHAnsi" w:hAnsiTheme="minorHAnsi" w:cs="Arial"/>
                <w:sz w:val="22"/>
                <w:szCs w:val="22"/>
                <w:lang w:val="en-GB"/>
              </w:rPr>
            </w:pPr>
          </w:p>
        </w:tc>
      </w:tr>
      <w:tr w:rsidR="006922AD" w:rsidRPr="001A22D3" w14:paraId="39ADDD7E" w14:textId="77777777" w:rsidTr="001A2049">
        <w:tblPrEx>
          <w:tblBorders>
            <w:insideH w:val="single" w:sz="4" w:space="0" w:color="auto"/>
            <w:insideV w:val="single" w:sz="4" w:space="0" w:color="auto"/>
          </w:tblBorders>
        </w:tblPrEx>
        <w:trPr>
          <w:gridAfter w:val="2"/>
          <w:wAfter w:w="23" w:type="dxa"/>
          <w:cantSplit/>
        </w:trPr>
        <w:tc>
          <w:tcPr>
            <w:tcW w:w="10142" w:type="dxa"/>
            <w:gridSpan w:val="4"/>
          </w:tcPr>
          <w:p w14:paraId="3E8CC6A7" w14:textId="77777777" w:rsidR="006922AD" w:rsidRPr="001A22D3" w:rsidRDefault="006922AD" w:rsidP="00A02366">
            <w:pPr>
              <w:pStyle w:val="FootnoteText"/>
              <w:rPr>
                <w:rFonts w:asciiTheme="minorHAnsi" w:hAnsiTheme="minorHAnsi" w:cs="Arial"/>
                <w:sz w:val="22"/>
                <w:szCs w:val="22"/>
                <w:lang w:val="en-GB"/>
              </w:rPr>
            </w:pPr>
            <w:r w:rsidRPr="001A22D3">
              <w:rPr>
                <w:rFonts w:asciiTheme="minorHAnsi" w:hAnsiTheme="minorHAnsi"/>
                <w:sz w:val="22"/>
                <w:szCs w:val="22"/>
                <w:lang w:val="en-GB"/>
              </w:rPr>
              <w:br w:type="page"/>
            </w:r>
            <w:r w:rsidRPr="001A22D3">
              <w:rPr>
                <w:rFonts w:asciiTheme="minorHAnsi" w:hAnsiTheme="minorHAnsi"/>
                <w:b/>
                <w:bCs/>
                <w:sz w:val="22"/>
                <w:szCs w:val="22"/>
                <w:lang w:val="en-GB"/>
              </w:rPr>
              <w:t>7</w:t>
            </w:r>
            <w:r w:rsidRPr="001A22D3">
              <w:rPr>
                <w:rFonts w:asciiTheme="minorHAnsi" w:hAnsiTheme="minorHAnsi" w:cs="Arial"/>
                <w:b/>
                <w:bCs/>
                <w:sz w:val="22"/>
                <w:szCs w:val="22"/>
                <w:lang w:val="en-GB"/>
              </w:rPr>
              <w:t>.  Reporting period</w:t>
            </w:r>
          </w:p>
        </w:tc>
      </w:tr>
      <w:tr w:rsidR="006922AD" w:rsidRPr="001A22D3" w14:paraId="6F2B54B0" w14:textId="77777777" w:rsidTr="00F65FC5">
        <w:tblPrEx>
          <w:tblBorders>
            <w:insideH w:val="single" w:sz="4" w:space="0" w:color="auto"/>
            <w:insideV w:val="single" w:sz="4" w:space="0" w:color="auto"/>
          </w:tblBorders>
        </w:tblPrEx>
        <w:trPr>
          <w:gridAfter w:val="2"/>
          <w:wAfter w:w="23" w:type="dxa"/>
          <w:cantSplit/>
        </w:trPr>
        <w:tc>
          <w:tcPr>
            <w:tcW w:w="2875" w:type="dxa"/>
          </w:tcPr>
          <w:p w14:paraId="5E170908" w14:textId="77777777" w:rsidR="006922AD" w:rsidRPr="001A22D3" w:rsidRDefault="006922AD" w:rsidP="00EF58F1">
            <w:pPr>
              <w:pStyle w:val="FootnoteText"/>
              <w:rPr>
                <w:rFonts w:asciiTheme="minorHAnsi" w:hAnsiTheme="minorHAnsi" w:cs="Arial"/>
                <w:sz w:val="22"/>
                <w:szCs w:val="22"/>
                <w:lang w:val="en-GB"/>
              </w:rPr>
            </w:pPr>
            <w:r w:rsidRPr="001A22D3">
              <w:rPr>
                <w:rFonts w:asciiTheme="minorHAnsi" w:hAnsiTheme="minorHAnsi" w:cs="Arial"/>
                <w:b/>
                <w:sz w:val="22"/>
                <w:szCs w:val="22"/>
                <w:lang w:val="en-GB"/>
              </w:rPr>
              <w:t xml:space="preserve">     From </w:t>
            </w:r>
            <w:r w:rsidRPr="001A22D3">
              <w:rPr>
                <w:rFonts w:asciiTheme="minorHAnsi" w:hAnsiTheme="minorHAnsi" w:cs="Arial"/>
                <w:sz w:val="22"/>
                <w:szCs w:val="22"/>
                <w:lang w:val="en-GB"/>
              </w:rPr>
              <w:t>(day/month/year)</w:t>
            </w:r>
          </w:p>
          <w:p w14:paraId="34C26514" w14:textId="5A952F8A" w:rsidR="006922AD" w:rsidRPr="001A22D3" w:rsidRDefault="006A5C49" w:rsidP="00FC0195">
            <w:pPr>
              <w:pStyle w:val="FootnoteText"/>
              <w:rPr>
                <w:rFonts w:asciiTheme="minorHAnsi" w:hAnsiTheme="minorHAnsi" w:cs="Arial"/>
                <w:bCs/>
                <w:sz w:val="22"/>
                <w:szCs w:val="22"/>
                <w:lang w:val="en-GB"/>
              </w:rPr>
            </w:pPr>
            <w:r w:rsidRPr="001A22D3">
              <w:rPr>
                <w:rFonts w:asciiTheme="minorHAnsi" w:hAnsiTheme="minorHAnsi" w:cs="Arial"/>
                <w:b/>
                <w:sz w:val="22"/>
                <w:szCs w:val="22"/>
                <w:lang w:val="en-GB"/>
              </w:rPr>
              <w:t xml:space="preserve">     </w:t>
            </w:r>
            <w:r w:rsidR="00F30DAD" w:rsidRPr="001A22D3">
              <w:rPr>
                <w:rFonts w:asciiTheme="minorHAnsi" w:hAnsiTheme="minorHAnsi" w:cs="Arial"/>
                <w:bCs/>
                <w:sz w:val="22"/>
                <w:szCs w:val="22"/>
                <w:lang w:val="en-GB"/>
              </w:rPr>
              <w:t>1 January 201</w:t>
            </w:r>
            <w:r w:rsidR="00CF2EF5">
              <w:rPr>
                <w:rFonts w:asciiTheme="minorHAnsi" w:hAnsiTheme="minorHAnsi" w:cs="Arial"/>
                <w:bCs/>
                <w:sz w:val="22"/>
                <w:szCs w:val="22"/>
                <w:lang w:val="en-GB"/>
              </w:rPr>
              <w:t>3</w:t>
            </w:r>
          </w:p>
        </w:tc>
        <w:tc>
          <w:tcPr>
            <w:tcW w:w="5796" w:type="dxa"/>
            <w:gridSpan w:val="2"/>
          </w:tcPr>
          <w:p w14:paraId="20AC7CB2" w14:textId="77777777" w:rsidR="006922AD" w:rsidRPr="001A22D3" w:rsidRDefault="006922AD" w:rsidP="00EF58F1">
            <w:pPr>
              <w:pStyle w:val="FootnoteText"/>
              <w:rPr>
                <w:rFonts w:asciiTheme="minorHAnsi" w:hAnsiTheme="minorHAnsi" w:cs="Arial"/>
                <w:sz w:val="22"/>
                <w:szCs w:val="22"/>
                <w:lang w:val="en-GB"/>
              </w:rPr>
            </w:pPr>
            <w:r w:rsidRPr="001A22D3">
              <w:rPr>
                <w:rFonts w:asciiTheme="minorHAnsi" w:hAnsiTheme="minorHAnsi" w:cs="Arial"/>
                <w:b/>
                <w:sz w:val="22"/>
                <w:szCs w:val="22"/>
                <w:lang w:val="en-GB"/>
              </w:rPr>
              <w:t xml:space="preserve">To </w:t>
            </w:r>
            <w:r w:rsidRPr="001A22D3">
              <w:rPr>
                <w:rFonts w:asciiTheme="minorHAnsi" w:hAnsiTheme="minorHAnsi" w:cs="Arial"/>
                <w:sz w:val="22"/>
                <w:szCs w:val="22"/>
                <w:lang w:val="en-GB"/>
              </w:rPr>
              <w:t>(day/month/year)</w:t>
            </w:r>
          </w:p>
          <w:p w14:paraId="143876A2" w14:textId="77777777" w:rsidR="00DA2702" w:rsidRPr="001A22D3" w:rsidRDefault="00DA2702" w:rsidP="00034B88">
            <w:pPr>
              <w:pStyle w:val="FootnoteText"/>
              <w:rPr>
                <w:rFonts w:asciiTheme="minorHAnsi" w:hAnsiTheme="minorHAnsi" w:cs="Arial"/>
                <w:sz w:val="22"/>
                <w:szCs w:val="22"/>
                <w:lang w:val="en-GB"/>
              </w:rPr>
            </w:pPr>
            <w:r w:rsidRPr="001A22D3">
              <w:rPr>
                <w:rFonts w:asciiTheme="minorHAnsi" w:hAnsiTheme="minorHAnsi" w:cs="Arial"/>
                <w:sz w:val="22"/>
                <w:szCs w:val="22"/>
                <w:lang w:val="en-GB"/>
              </w:rPr>
              <w:t xml:space="preserve">31 </w:t>
            </w:r>
            <w:r w:rsidR="005A7DC6">
              <w:rPr>
                <w:rFonts w:asciiTheme="minorHAnsi" w:hAnsiTheme="minorHAnsi" w:cs="Arial"/>
                <w:sz w:val="22"/>
                <w:szCs w:val="22"/>
                <w:lang w:val="en-GB"/>
              </w:rPr>
              <w:t>March</w:t>
            </w:r>
            <w:r w:rsidRPr="001A22D3">
              <w:rPr>
                <w:rFonts w:asciiTheme="minorHAnsi" w:hAnsiTheme="minorHAnsi" w:cs="Arial"/>
                <w:sz w:val="22"/>
                <w:szCs w:val="22"/>
                <w:lang w:val="en-GB"/>
              </w:rPr>
              <w:t xml:space="preserve"> 201</w:t>
            </w:r>
            <w:r w:rsidR="005A7DC6">
              <w:rPr>
                <w:rFonts w:asciiTheme="minorHAnsi" w:hAnsiTheme="minorHAnsi" w:cs="Arial"/>
                <w:sz w:val="22"/>
                <w:szCs w:val="22"/>
                <w:lang w:val="en-GB"/>
              </w:rPr>
              <w:t>7</w:t>
            </w:r>
          </w:p>
        </w:tc>
        <w:tc>
          <w:tcPr>
            <w:tcW w:w="1471" w:type="dxa"/>
          </w:tcPr>
          <w:p w14:paraId="552BE0A5" w14:textId="77777777" w:rsidR="006922AD" w:rsidRPr="001A22D3" w:rsidRDefault="006922AD" w:rsidP="00EF58F1">
            <w:pPr>
              <w:rPr>
                <w:rStyle w:val="Style11pt"/>
                <w:rFonts w:asciiTheme="minorHAnsi" w:hAnsiTheme="minorHAnsi"/>
                <w:sz w:val="22"/>
                <w:szCs w:val="22"/>
              </w:rPr>
            </w:pPr>
          </w:p>
          <w:p w14:paraId="0F55F1D6" w14:textId="77777777" w:rsidR="006922AD" w:rsidRPr="001A22D3" w:rsidRDefault="006922AD" w:rsidP="00EF58F1">
            <w:pPr>
              <w:rPr>
                <w:rFonts w:asciiTheme="minorHAnsi" w:hAnsiTheme="minorHAnsi" w:cs="Arial"/>
                <w:sz w:val="22"/>
                <w:szCs w:val="22"/>
              </w:rPr>
            </w:pPr>
          </w:p>
        </w:tc>
      </w:tr>
      <w:tr w:rsidR="006922AD" w:rsidRPr="001A22D3" w14:paraId="788D7C61" w14:textId="77777777" w:rsidTr="00CD3E3B">
        <w:tblPrEx>
          <w:tblBorders>
            <w:insideH w:val="single" w:sz="4" w:space="0" w:color="auto"/>
            <w:insideV w:val="single" w:sz="4" w:space="0" w:color="auto"/>
          </w:tblBorders>
        </w:tblPrEx>
        <w:trPr>
          <w:gridAfter w:val="2"/>
          <w:wAfter w:w="23" w:type="dxa"/>
          <w:cantSplit/>
          <w:trHeight w:val="2744"/>
        </w:trPr>
        <w:tc>
          <w:tcPr>
            <w:tcW w:w="10142" w:type="dxa"/>
            <w:gridSpan w:val="4"/>
          </w:tcPr>
          <w:p w14:paraId="6C5CDBBF" w14:textId="77777777" w:rsidR="006922AD" w:rsidRPr="001A22D3" w:rsidRDefault="006922AD" w:rsidP="00720B2B">
            <w:pPr>
              <w:pStyle w:val="FootnoteText"/>
              <w:rPr>
                <w:rFonts w:asciiTheme="minorHAnsi" w:hAnsiTheme="minorHAnsi" w:cs="Arial"/>
                <w:b/>
                <w:bCs/>
                <w:sz w:val="22"/>
                <w:szCs w:val="22"/>
                <w:lang w:val="en-GB"/>
              </w:rPr>
            </w:pPr>
            <w:r w:rsidRPr="001A22D3">
              <w:rPr>
                <w:rFonts w:asciiTheme="minorHAnsi" w:hAnsiTheme="minorHAnsi" w:cs="Arial"/>
                <w:b/>
                <w:bCs/>
                <w:sz w:val="22"/>
                <w:szCs w:val="22"/>
                <w:lang w:val="en-GB"/>
              </w:rPr>
              <w:t xml:space="preserve">8.  </w:t>
            </w:r>
            <w:r w:rsidRPr="00CD3E3B">
              <w:rPr>
                <w:rFonts w:asciiTheme="minorHAnsi" w:hAnsiTheme="minorHAnsi" w:cs="Arial"/>
                <w:b/>
                <w:bCs/>
                <w:sz w:val="22"/>
                <w:szCs w:val="22"/>
                <w:lang w:val="en-GB"/>
              </w:rPr>
              <w:t>Monitoring and reviews</w:t>
            </w:r>
          </w:p>
          <w:p w14:paraId="4167194F" w14:textId="77777777" w:rsidR="00C204FE" w:rsidRPr="001A22D3" w:rsidRDefault="00C204FE" w:rsidP="00720B2B">
            <w:pPr>
              <w:pStyle w:val="FootnoteText"/>
              <w:rPr>
                <w:rFonts w:asciiTheme="minorHAnsi" w:hAnsiTheme="minorHAnsi" w:cs="Arial"/>
                <w:bCs/>
                <w:i/>
                <w:sz w:val="22"/>
                <w:szCs w:val="22"/>
                <w:lang w:val="en-GB"/>
              </w:rPr>
            </w:pPr>
            <w:r w:rsidRPr="001A22D3">
              <w:rPr>
                <w:rFonts w:asciiTheme="minorHAnsi" w:hAnsiTheme="minorHAnsi" w:cs="Arial"/>
                <w:bCs/>
                <w:i/>
                <w:sz w:val="22"/>
                <w:szCs w:val="22"/>
                <w:lang w:val="en-GB"/>
              </w:rPr>
              <w:t>Give an account of the main monitoring activities during the period, e.g. steering committee meeting, visits, review etc. (in bullet points)</w:t>
            </w:r>
          </w:p>
          <w:p w14:paraId="2B42CD55" w14:textId="71D24B65" w:rsidR="00275732" w:rsidRDefault="00275732" w:rsidP="002B6C75">
            <w:pPr>
              <w:numPr>
                <w:ilvl w:val="0"/>
                <w:numId w:val="2"/>
              </w:numPr>
              <w:tabs>
                <w:tab w:val="clear" w:pos="1080"/>
                <w:tab w:val="num" w:pos="709"/>
              </w:tabs>
              <w:ind w:left="709" w:hanging="425"/>
              <w:jc w:val="both"/>
              <w:rPr>
                <w:rFonts w:asciiTheme="minorHAnsi" w:hAnsiTheme="minorHAnsi" w:cstheme="minorHAnsi"/>
                <w:sz w:val="22"/>
                <w:szCs w:val="22"/>
              </w:rPr>
            </w:pPr>
            <w:r w:rsidRPr="001A22D3">
              <w:rPr>
                <w:rFonts w:asciiTheme="minorHAnsi" w:hAnsiTheme="minorHAnsi" w:cstheme="minorHAnsi"/>
                <w:sz w:val="22"/>
                <w:szCs w:val="22"/>
              </w:rPr>
              <w:t>Board meeting</w:t>
            </w:r>
            <w:r w:rsidR="00492898">
              <w:rPr>
                <w:rFonts w:asciiTheme="minorHAnsi" w:hAnsiTheme="minorHAnsi" w:cstheme="minorHAnsi"/>
                <w:sz w:val="22"/>
                <w:szCs w:val="22"/>
              </w:rPr>
              <w:t>s</w:t>
            </w:r>
            <w:r w:rsidRPr="001A22D3">
              <w:rPr>
                <w:rFonts w:asciiTheme="minorHAnsi" w:hAnsiTheme="minorHAnsi" w:cstheme="minorHAnsi"/>
                <w:sz w:val="22"/>
                <w:szCs w:val="22"/>
              </w:rPr>
              <w:t xml:space="preserve">: </w:t>
            </w:r>
            <w:r w:rsidR="003A3B29">
              <w:rPr>
                <w:rFonts w:asciiTheme="minorHAnsi" w:hAnsiTheme="minorHAnsi" w:cstheme="minorHAnsi"/>
                <w:sz w:val="22"/>
                <w:szCs w:val="22"/>
              </w:rPr>
              <w:t xml:space="preserve">29 August 2013, 4 March 2014, 11 August 2014, </w:t>
            </w:r>
            <w:r w:rsidR="006B02AB">
              <w:rPr>
                <w:rFonts w:asciiTheme="minorHAnsi" w:hAnsiTheme="minorHAnsi" w:cstheme="minorHAnsi"/>
                <w:sz w:val="22"/>
                <w:szCs w:val="22"/>
              </w:rPr>
              <w:t xml:space="preserve">21 January 2015, 27 August 2015, </w:t>
            </w:r>
            <w:r w:rsidRPr="001A22D3">
              <w:rPr>
                <w:rFonts w:asciiTheme="minorHAnsi" w:hAnsiTheme="minorHAnsi" w:cstheme="minorHAnsi"/>
                <w:sz w:val="22"/>
                <w:szCs w:val="22"/>
              </w:rPr>
              <w:t>11 February 2016</w:t>
            </w:r>
            <w:r w:rsidR="00492898">
              <w:rPr>
                <w:rFonts w:asciiTheme="minorHAnsi" w:hAnsiTheme="minorHAnsi" w:cstheme="minorHAnsi"/>
                <w:sz w:val="22"/>
                <w:szCs w:val="22"/>
              </w:rPr>
              <w:t xml:space="preserve">, 10 November 2016 </w:t>
            </w:r>
            <w:r w:rsidR="00317408">
              <w:rPr>
                <w:rFonts w:asciiTheme="minorHAnsi" w:hAnsiTheme="minorHAnsi" w:cstheme="minorHAnsi"/>
                <w:sz w:val="22"/>
                <w:szCs w:val="22"/>
              </w:rPr>
              <w:t xml:space="preserve"> </w:t>
            </w:r>
          </w:p>
          <w:p w14:paraId="32944739" w14:textId="338A2284" w:rsidR="00A4367F" w:rsidRDefault="00A4367F" w:rsidP="002B6C75">
            <w:pPr>
              <w:numPr>
                <w:ilvl w:val="0"/>
                <w:numId w:val="2"/>
              </w:numPr>
              <w:tabs>
                <w:tab w:val="clear" w:pos="1080"/>
                <w:tab w:val="num" w:pos="709"/>
              </w:tabs>
              <w:ind w:left="709" w:hanging="425"/>
              <w:jc w:val="both"/>
              <w:rPr>
                <w:rFonts w:asciiTheme="minorHAnsi" w:hAnsiTheme="minorHAnsi" w:cstheme="minorHAnsi"/>
                <w:sz w:val="22"/>
                <w:szCs w:val="22"/>
              </w:rPr>
            </w:pPr>
            <w:r>
              <w:rPr>
                <w:rFonts w:asciiTheme="minorHAnsi" w:hAnsiTheme="minorHAnsi" w:cstheme="minorHAnsi"/>
                <w:sz w:val="22"/>
                <w:szCs w:val="22"/>
              </w:rPr>
              <w:t>Mi</w:t>
            </w:r>
            <w:r w:rsidR="00477B38">
              <w:rPr>
                <w:rFonts w:asciiTheme="minorHAnsi" w:hAnsiTheme="minorHAnsi" w:cstheme="minorHAnsi"/>
                <w:sz w:val="22"/>
                <w:szCs w:val="22"/>
              </w:rPr>
              <w:t>d</w:t>
            </w:r>
            <w:r>
              <w:rPr>
                <w:rFonts w:asciiTheme="minorHAnsi" w:hAnsiTheme="minorHAnsi" w:cstheme="minorHAnsi"/>
                <w:sz w:val="22"/>
                <w:szCs w:val="22"/>
              </w:rPr>
              <w:t>-term review: January-February 2015</w:t>
            </w:r>
          </w:p>
          <w:p w14:paraId="09ADBF23" w14:textId="142ED103" w:rsidR="00DF00B2" w:rsidRDefault="00DF00B2" w:rsidP="002B6C75">
            <w:pPr>
              <w:numPr>
                <w:ilvl w:val="0"/>
                <w:numId w:val="2"/>
              </w:numPr>
              <w:tabs>
                <w:tab w:val="clear" w:pos="1080"/>
                <w:tab w:val="num" w:pos="709"/>
              </w:tabs>
              <w:ind w:left="709" w:hanging="425"/>
              <w:jc w:val="both"/>
              <w:rPr>
                <w:rFonts w:asciiTheme="minorHAnsi" w:hAnsiTheme="minorHAnsi" w:cstheme="minorHAnsi"/>
                <w:sz w:val="22"/>
                <w:szCs w:val="22"/>
              </w:rPr>
            </w:pPr>
            <w:r>
              <w:rPr>
                <w:rFonts w:asciiTheme="minorHAnsi" w:hAnsiTheme="minorHAnsi" w:cstheme="minorHAnsi"/>
                <w:sz w:val="22"/>
                <w:szCs w:val="22"/>
              </w:rPr>
              <w:t>DANIDA mid-term review: March 2015</w:t>
            </w:r>
          </w:p>
          <w:p w14:paraId="3A0F99AF" w14:textId="3539AD21" w:rsidR="005D23B8" w:rsidRDefault="005D23B8" w:rsidP="005D23B8">
            <w:pPr>
              <w:numPr>
                <w:ilvl w:val="0"/>
                <w:numId w:val="2"/>
              </w:numPr>
              <w:tabs>
                <w:tab w:val="clear" w:pos="1080"/>
                <w:tab w:val="num" w:pos="709"/>
              </w:tabs>
              <w:ind w:left="709" w:hanging="425"/>
              <w:jc w:val="both"/>
              <w:rPr>
                <w:rFonts w:asciiTheme="minorHAnsi" w:hAnsiTheme="minorHAnsi" w:cstheme="minorHAnsi"/>
                <w:sz w:val="22"/>
                <w:szCs w:val="22"/>
              </w:rPr>
            </w:pPr>
            <w:r w:rsidRPr="001A22D3">
              <w:rPr>
                <w:rFonts w:asciiTheme="minorHAnsi" w:hAnsiTheme="minorHAnsi" w:cstheme="minorHAnsi"/>
                <w:sz w:val="22"/>
                <w:szCs w:val="22"/>
              </w:rPr>
              <w:t>DMFA monitoring mission</w:t>
            </w:r>
            <w:r>
              <w:rPr>
                <w:rFonts w:asciiTheme="minorHAnsi" w:hAnsiTheme="minorHAnsi" w:cstheme="minorHAnsi"/>
                <w:sz w:val="22"/>
                <w:szCs w:val="22"/>
              </w:rPr>
              <w:t>s</w:t>
            </w:r>
            <w:r w:rsidRPr="001A22D3">
              <w:rPr>
                <w:rFonts w:asciiTheme="minorHAnsi" w:hAnsiTheme="minorHAnsi" w:cstheme="minorHAnsi"/>
                <w:sz w:val="22"/>
                <w:szCs w:val="22"/>
              </w:rPr>
              <w:t>: 16-19 May 2016</w:t>
            </w:r>
            <w:r>
              <w:rPr>
                <w:rFonts w:asciiTheme="minorHAnsi" w:hAnsiTheme="minorHAnsi" w:cstheme="minorHAnsi"/>
                <w:sz w:val="22"/>
                <w:szCs w:val="22"/>
              </w:rPr>
              <w:t>, 15-17 May 2017</w:t>
            </w:r>
          </w:p>
          <w:p w14:paraId="63150FE4" w14:textId="2C24ABF5" w:rsidR="005D23B8" w:rsidRDefault="001167DD" w:rsidP="002B6C75">
            <w:pPr>
              <w:numPr>
                <w:ilvl w:val="0"/>
                <w:numId w:val="2"/>
              </w:numPr>
              <w:tabs>
                <w:tab w:val="clear" w:pos="1080"/>
                <w:tab w:val="num" w:pos="709"/>
              </w:tabs>
              <w:ind w:left="709" w:hanging="425"/>
              <w:jc w:val="both"/>
              <w:rPr>
                <w:rFonts w:asciiTheme="minorHAnsi" w:hAnsiTheme="minorHAnsi" w:cstheme="minorHAnsi"/>
                <w:sz w:val="22"/>
                <w:szCs w:val="22"/>
              </w:rPr>
            </w:pPr>
            <w:r>
              <w:rPr>
                <w:rFonts w:asciiTheme="minorHAnsi" w:hAnsiTheme="minorHAnsi" w:cstheme="minorHAnsi"/>
                <w:sz w:val="22"/>
                <w:szCs w:val="22"/>
              </w:rPr>
              <w:t>Final project evaluation:</w:t>
            </w:r>
            <w:r w:rsidR="00054400">
              <w:rPr>
                <w:rFonts w:asciiTheme="minorHAnsi" w:hAnsiTheme="minorHAnsi" w:cstheme="minorHAnsi"/>
                <w:sz w:val="22"/>
                <w:szCs w:val="22"/>
              </w:rPr>
              <w:t xml:space="preserve"> February-March 2017. </w:t>
            </w:r>
          </w:p>
          <w:p w14:paraId="79A98CDA" w14:textId="77777777" w:rsidR="0049060A" w:rsidRPr="001A22D3" w:rsidRDefault="0049060A" w:rsidP="00492898">
            <w:pPr>
              <w:ind w:left="709"/>
              <w:jc w:val="both"/>
              <w:rPr>
                <w:rFonts w:asciiTheme="minorHAnsi" w:hAnsiTheme="minorHAnsi" w:cstheme="minorHAnsi"/>
                <w:sz w:val="22"/>
                <w:szCs w:val="22"/>
              </w:rPr>
            </w:pPr>
          </w:p>
        </w:tc>
      </w:tr>
      <w:tr w:rsidR="001A2049" w14:paraId="77D61273" w14:textId="77777777" w:rsidTr="00DC09E1">
        <w:tblPrEx>
          <w:tblBorders>
            <w:insideH w:val="single" w:sz="4" w:space="0" w:color="auto"/>
            <w:insideV w:val="single" w:sz="4" w:space="0" w:color="auto"/>
          </w:tblBorders>
        </w:tblPrEx>
        <w:trPr>
          <w:trHeight w:val="227"/>
        </w:trPr>
        <w:tc>
          <w:tcPr>
            <w:tcW w:w="10165" w:type="dxa"/>
            <w:gridSpan w:val="6"/>
            <w:tcBorders>
              <w:top w:val="single" w:sz="4" w:space="0" w:color="auto"/>
              <w:left w:val="single" w:sz="4" w:space="0" w:color="auto"/>
              <w:bottom w:val="single" w:sz="4" w:space="0" w:color="auto"/>
              <w:right w:val="single" w:sz="4" w:space="0" w:color="auto"/>
            </w:tcBorders>
          </w:tcPr>
          <w:p w14:paraId="41818203" w14:textId="77777777" w:rsidR="00347612" w:rsidRPr="00347612" w:rsidRDefault="00347612" w:rsidP="00347612">
            <w:pPr>
              <w:pStyle w:val="FootnoteText"/>
              <w:widowControl w:val="0"/>
              <w:tabs>
                <w:tab w:val="left" w:pos="180"/>
              </w:tabs>
              <w:jc w:val="both"/>
              <w:rPr>
                <w:rFonts w:asciiTheme="minorHAnsi" w:hAnsiTheme="minorHAnsi" w:cstheme="minorHAnsi"/>
                <w:b/>
                <w:iCs/>
                <w:color w:val="000000"/>
                <w:sz w:val="22"/>
                <w:szCs w:val="22"/>
                <w:lang w:val="en-GB"/>
              </w:rPr>
            </w:pPr>
            <w:r w:rsidRPr="00347612">
              <w:rPr>
                <w:rFonts w:asciiTheme="minorHAnsi" w:hAnsiTheme="minorHAnsi" w:cstheme="minorHAnsi"/>
                <w:b/>
                <w:iCs/>
                <w:color w:val="000000"/>
                <w:sz w:val="22"/>
                <w:szCs w:val="22"/>
                <w:lang w:val="en-GB"/>
              </w:rPr>
              <w:t>9.  Assessment of external context, assumptions and risks relevant to the Programme</w:t>
            </w:r>
          </w:p>
          <w:p w14:paraId="206585E2" w14:textId="5271F587" w:rsidR="00347612" w:rsidRDefault="00347612" w:rsidP="00347612">
            <w:pPr>
              <w:pStyle w:val="FootnoteText"/>
              <w:widowControl w:val="0"/>
              <w:tabs>
                <w:tab w:val="left" w:pos="180"/>
              </w:tabs>
              <w:jc w:val="both"/>
              <w:rPr>
                <w:rFonts w:asciiTheme="minorHAnsi" w:hAnsiTheme="minorHAnsi" w:cstheme="minorHAnsi"/>
                <w:i/>
                <w:iCs/>
                <w:color w:val="000000"/>
                <w:sz w:val="22"/>
                <w:szCs w:val="22"/>
                <w:lang w:val="en-GB"/>
              </w:rPr>
            </w:pPr>
            <w:r w:rsidRPr="00347612">
              <w:rPr>
                <w:rFonts w:asciiTheme="minorHAnsi" w:hAnsiTheme="minorHAnsi" w:cstheme="minorHAnsi"/>
                <w:i/>
                <w:iCs/>
                <w:color w:val="000000"/>
                <w:sz w:val="22"/>
                <w:szCs w:val="22"/>
                <w:lang w:val="en-GB"/>
              </w:rPr>
              <w:t xml:space="preserve">A brief description of the national context that is relevant for the Programme. </w:t>
            </w:r>
          </w:p>
          <w:p w14:paraId="78E516C7" w14:textId="77777777" w:rsidR="00056EE2" w:rsidRPr="00347612" w:rsidRDefault="00056EE2" w:rsidP="00347612">
            <w:pPr>
              <w:pStyle w:val="FootnoteText"/>
              <w:widowControl w:val="0"/>
              <w:tabs>
                <w:tab w:val="left" w:pos="180"/>
              </w:tabs>
              <w:jc w:val="both"/>
              <w:rPr>
                <w:rFonts w:asciiTheme="minorHAnsi" w:hAnsiTheme="minorHAnsi" w:cstheme="minorHAnsi"/>
                <w:i/>
                <w:iCs/>
                <w:color w:val="000000"/>
                <w:sz w:val="22"/>
                <w:szCs w:val="22"/>
                <w:lang w:val="en-GB"/>
              </w:rPr>
            </w:pPr>
          </w:p>
          <w:p w14:paraId="6A044758" w14:textId="77777777" w:rsidR="00477B38" w:rsidRPr="00EF24AF" w:rsidRDefault="00477B38" w:rsidP="00477B38">
            <w:pPr>
              <w:spacing w:after="120"/>
              <w:jc w:val="both"/>
              <w:rPr>
                <w:rFonts w:asciiTheme="minorHAnsi" w:hAnsiTheme="minorHAnsi" w:cstheme="minorHAnsi"/>
                <w:b/>
                <w:sz w:val="22"/>
                <w:szCs w:val="22"/>
              </w:rPr>
            </w:pPr>
            <w:r w:rsidRPr="00EF24AF">
              <w:rPr>
                <w:rFonts w:asciiTheme="minorHAnsi" w:hAnsiTheme="minorHAnsi" w:cstheme="minorHAnsi"/>
                <w:b/>
                <w:sz w:val="22"/>
                <w:szCs w:val="22"/>
              </w:rPr>
              <w:t>KEY DEVELOPMENTS</w:t>
            </w:r>
          </w:p>
          <w:p w14:paraId="35C09E9E" w14:textId="77777777" w:rsidR="00E55C60" w:rsidRDefault="00E55C60" w:rsidP="00E55C60">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The 2013-2014 Revolution of Dignity has </w:t>
            </w:r>
            <w:r>
              <w:rPr>
                <w:rFonts w:asciiTheme="minorHAnsi" w:hAnsiTheme="minorHAnsi" w:cstheme="minorHAnsi"/>
                <w:sz w:val="22"/>
                <w:szCs w:val="22"/>
                <w:lang w:val="en-US"/>
              </w:rPr>
              <w:t xml:space="preserve">led to </w:t>
            </w:r>
            <w:r>
              <w:rPr>
                <w:rFonts w:asciiTheme="minorHAnsi" w:hAnsiTheme="minorHAnsi" w:cstheme="minorHAnsi"/>
                <w:sz w:val="22"/>
                <w:szCs w:val="22"/>
              </w:rPr>
              <w:t xml:space="preserve">the period of unprecedented democratic governance reforms, but also to the protracted conflict in certain districts of Donetsk and Lugansk oblasts, and to the loss of Government control over Crimea  </w:t>
            </w:r>
          </w:p>
          <w:p w14:paraId="3991F508" w14:textId="2D789D89" w:rsidR="00E55C60" w:rsidRPr="00D81BC4" w:rsidRDefault="00E55C60" w:rsidP="00BD276A">
            <w:pPr>
              <w:pStyle w:val="ListParagraph"/>
              <w:numPr>
                <w:ilvl w:val="0"/>
                <w:numId w:val="25"/>
              </w:numPr>
              <w:rPr>
                <w:rFonts w:asciiTheme="minorHAnsi" w:hAnsiTheme="minorHAnsi" w:cstheme="minorHAnsi"/>
                <w:sz w:val="22"/>
                <w:szCs w:val="22"/>
              </w:rPr>
            </w:pPr>
            <w:r w:rsidRPr="00D81BC4">
              <w:rPr>
                <w:rFonts w:asciiTheme="minorHAnsi" w:hAnsiTheme="minorHAnsi" w:cstheme="minorHAnsi"/>
                <w:sz w:val="22"/>
                <w:szCs w:val="22"/>
              </w:rPr>
              <w:lastRenderedPageBreak/>
              <w:t xml:space="preserve">Сivil society has </w:t>
            </w:r>
            <w:r w:rsidR="00C2559E" w:rsidRPr="00D81BC4">
              <w:rPr>
                <w:rFonts w:asciiTheme="minorHAnsi" w:hAnsiTheme="minorHAnsi" w:cstheme="minorHAnsi"/>
                <w:sz w:val="22"/>
                <w:szCs w:val="22"/>
              </w:rPr>
              <w:t xml:space="preserve">been </w:t>
            </w:r>
            <w:r w:rsidRPr="00D81BC4">
              <w:rPr>
                <w:rFonts w:asciiTheme="minorHAnsi" w:hAnsiTheme="minorHAnsi" w:cstheme="minorHAnsi"/>
                <w:sz w:val="22"/>
                <w:szCs w:val="22"/>
              </w:rPr>
              <w:t>develop</w:t>
            </w:r>
            <w:r w:rsidR="00C2559E" w:rsidRPr="00D81BC4">
              <w:rPr>
                <w:rFonts w:asciiTheme="minorHAnsi" w:hAnsiTheme="minorHAnsi" w:cstheme="minorHAnsi"/>
                <w:sz w:val="22"/>
                <w:szCs w:val="22"/>
              </w:rPr>
              <w:t>ing</w:t>
            </w:r>
            <w:r w:rsidRPr="00D81BC4">
              <w:rPr>
                <w:rFonts w:asciiTheme="minorHAnsi" w:hAnsiTheme="minorHAnsi" w:cstheme="minorHAnsi"/>
                <w:sz w:val="22"/>
                <w:szCs w:val="22"/>
              </w:rPr>
              <w:t xml:space="preserve"> steadily over the past years </w:t>
            </w:r>
            <w:r w:rsidR="00D81BC4" w:rsidRPr="00D81BC4">
              <w:rPr>
                <w:rFonts w:asciiTheme="minorHAnsi" w:hAnsiTheme="minorHAnsi" w:cstheme="minorHAnsi"/>
                <w:sz w:val="22"/>
                <w:szCs w:val="22"/>
              </w:rPr>
              <w:t xml:space="preserve">resulting in 3.3 out of 5 points of </w:t>
            </w:r>
            <w:r w:rsidRPr="00D81BC4">
              <w:rPr>
                <w:rFonts w:asciiTheme="minorHAnsi" w:hAnsiTheme="minorHAnsi" w:cstheme="minorHAnsi"/>
                <w:sz w:val="22"/>
                <w:szCs w:val="22"/>
                <w:lang w:val="en-US"/>
              </w:rPr>
              <w:t xml:space="preserve">the </w:t>
            </w:r>
            <w:r w:rsidRPr="00D81BC4">
              <w:rPr>
                <w:rFonts w:asciiTheme="minorHAnsi" w:hAnsiTheme="minorHAnsi" w:cstheme="minorHAnsi"/>
                <w:sz w:val="22"/>
                <w:szCs w:val="22"/>
              </w:rPr>
              <w:t>average cumulative 2016 CSO Sustainability Index</w:t>
            </w:r>
            <w:r w:rsidR="00B2230C" w:rsidRPr="00D81BC4">
              <w:rPr>
                <w:rFonts w:asciiTheme="minorHAnsi" w:hAnsiTheme="minorHAnsi" w:cstheme="minorHAnsi"/>
                <w:sz w:val="22"/>
                <w:szCs w:val="22"/>
              </w:rPr>
              <w:t xml:space="preserve"> </w:t>
            </w:r>
            <w:r w:rsidR="00D81BC4" w:rsidRPr="00D81BC4">
              <w:rPr>
                <w:rFonts w:asciiTheme="minorHAnsi" w:hAnsiTheme="minorHAnsi" w:cstheme="minorHAnsi"/>
                <w:sz w:val="22"/>
                <w:szCs w:val="22"/>
              </w:rPr>
              <w:t xml:space="preserve">which </w:t>
            </w:r>
            <w:r w:rsidRPr="00D81BC4">
              <w:rPr>
                <w:rFonts w:asciiTheme="minorHAnsi" w:hAnsiTheme="minorHAnsi" w:cstheme="minorHAnsi"/>
                <w:sz w:val="22"/>
                <w:szCs w:val="22"/>
              </w:rPr>
              <w:t>demonstrat</w:t>
            </w:r>
            <w:r w:rsidR="00D81BC4" w:rsidRPr="00D81BC4">
              <w:rPr>
                <w:rFonts w:asciiTheme="minorHAnsi" w:hAnsiTheme="minorHAnsi" w:cstheme="minorHAnsi"/>
                <w:sz w:val="22"/>
                <w:szCs w:val="22"/>
              </w:rPr>
              <w:t>ed</w:t>
            </w:r>
            <w:r w:rsidRPr="00D81BC4">
              <w:rPr>
                <w:rFonts w:asciiTheme="minorHAnsi" w:hAnsiTheme="minorHAnsi" w:cstheme="minorHAnsi"/>
                <w:sz w:val="22"/>
                <w:szCs w:val="22"/>
              </w:rPr>
              <w:t xml:space="preserve"> some improvement in institutional capacity, governance structures, engagement of supporters, advocacy and public image.</w:t>
            </w:r>
          </w:p>
          <w:p w14:paraId="2F720162" w14:textId="77777777" w:rsidR="00E55C60" w:rsidRPr="00DC09E1" w:rsidRDefault="00E55C60" w:rsidP="00E55C60">
            <w:pPr>
              <w:pStyle w:val="ListParagraph"/>
              <w:numPr>
                <w:ilvl w:val="0"/>
                <w:numId w:val="25"/>
              </w:numPr>
              <w:rPr>
                <w:rFonts w:asciiTheme="minorHAnsi" w:hAnsiTheme="minorHAnsi" w:cstheme="minorHAnsi"/>
                <w:sz w:val="22"/>
                <w:szCs w:val="22"/>
                <w:lang w:val="en-US"/>
              </w:rPr>
            </w:pPr>
            <w:r>
              <w:rPr>
                <w:rFonts w:asciiTheme="minorHAnsi" w:hAnsiTheme="minorHAnsi" w:cstheme="minorHAnsi"/>
                <w:sz w:val="22"/>
                <w:szCs w:val="22"/>
                <w:lang w:val="en-US"/>
              </w:rPr>
              <w:t>T</w:t>
            </w:r>
            <w:r w:rsidRPr="00DC09E1">
              <w:rPr>
                <w:rFonts w:asciiTheme="minorHAnsi" w:hAnsiTheme="minorHAnsi" w:cstheme="minorHAnsi"/>
                <w:sz w:val="22"/>
                <w:szCs w:val="22"/>
                <w:lang w:val="en-US"/>
              </w:rPr>
              <w:t xml:space="preserve">he </w:t>
            </w:r>
            <w:hyperlink r:id="rId12" w:history="1">
              <w:r w:rsidRPr="00DC09E1">
                <w:rPr>
                  <w:rStyle w:val="Hyperlink"/>
                  <w:rFonts w:asciiTheme="minorHAnsi" w:hAnsiTheme="minorHAnsi" w:cstheme="minorHAnsi"/>
                  <w:sz w:val="22"/>
                  <w:szCs w:val="22"/>
                  <w:lang w:val="en-US"/>
                </w:rPr>
                <w:t>President’s Decree</w:t>
              </w:r>
            </w:hyperlink>
            <w:r w:rsidRPr="00DC09E1">
              <w:rPr>
                <w:rFonts w:asciiTheme="minorHAnsi" w:hAnsiTheme="minorHAnsi" w:cstheme="minorHAnsi"/>
                <w:sz w:val="22"/>
                <w:szCs w:val="22"/>
                <w:lang w:val="en-US"/>
              </w:rPr>
              <w:t xml:space="preserve"> on the National Strategy on Civil Society Development for 2016-2020 </w:t>
            </w:r>
            <w:r>
              <w:rPr>
                <w:rFonts w:asciiTheme="minorHAnsi" w:hAnsiTheme="minorHAnsi" w:cstheme="minorHAnsi"/>
                <w:sz w:val="22"/>
                <w:szCs w:val="22"/>
                <w:lang w:val="en-US"/>
              </w:rPr>
              <w:t xml:space="preserve">was adopted </w:t>
            </w:r>
            <w:r w:rsidRPr="00DC09E1">
              <w:rPr>
                <w:rFonts w:asciiTheme="minorHAnsi" w:hAnsiTheme="minorHAnsi" w:cstheme="minorHAnsi"/>
                <w:sz w:val="22"/>
                <w:szCs w:val="22"/>
                <w:lang w:val="en-US"/>
              </w:rPr>
              <w:t>providing a general favourable framework for civil society development in the country</w:t>
            </w:r>
            <w:r>
              <w:rPr>
                <w:rFonts w:asciiTheme="minorHAnsi" w:hAnsiTheme="minorHAnsi" w:cstheme="minorHAnsi"/>
                <w:sz w:val="22"/>
                <w:szCs w:val="22"/>
                <w:lang w:val="en-US"/>
              </w:rPr>
              <w:t>,</w:t>
            </w:r>
            <w:r w:rsidRPr="0067590A">
              <w:rPr>
                <w:rFonts w:asciiTheme="minorHAnsi" w:hAnsiTheme="minorHAnsi" w:cstheme="minorHAnsi"/>
                <w:sz w:val="22"/>
                <w:szCs w:val="22"/>
                <w:lang w:val="en-US"/>
              </w:rPr>
              <w:t xml:space="preserve"> </w:t>
            </w:r>
            <w:r w:rsidRPr="00DC09E1">
              <w:rPr>
                <w:rFonts w:asciiTheme="minorHAnsi" w:hAnsiTheme="minorHAnsi" w:cstheme="minorHAnsi"/>
                <w:sz w:val="22"/>
                <w:szCs w:val="22"/>
                <w:lang w:val="en-US"/>
              </w:rPr>
              <w:t xml:space="preserve">however, </w:t>
            </w:r>
            <w:r>
              <w:rPr>
                <w:rFonts w:asciiTheme="minorHAnsi" w:hAnsiTheme="minorHAnsi" w:cstheme="minorHAnsi"/>
                <w:sz w:val="22"/>
                <w:szCs w:val="22"/>
                <w:lang w:val="en-US"/>
              </w:rPr>
              <w:t xml:space="preserve">some </w:t>
            </w:r>
            <w:r w:rsidRPr="00DC09E1">
              <w:rPr>
                <w:rFonts w:asciiTheme="minorHAnsi" w:hAnsiTheme="minorHAnsi" w:cstheme="minorHAnsi"/>
                <w:sz w:val="22"/>
                <w:szCs w:val="22"/>
                <w:lang w:val="en-US"/>
              </w:rPr>
              <w:t xml:space="preserve">follow-up </w:t>
            </w:r>
            <w:r w:rsidRPr="0067590A">
              <w:rPr>
                <w:rFonts w:asciiTheme="minorHAnsi" w:hAnsiTheme="minorHAnsi" w:cstheme="minorHAnsi"/>
                <w:sz w:val="22"/>
                <w:szCs w:val="22"/>
              </w:rPr>
              <w:t>legislative</w:t>
            </w:r>
            <w:r w:rsidRPr="00DC09E1">
              <w:rPr>
                <w:rFonts w:asciiTheme="minorHAnsi" w:hAnsiTheme="minorHAnsi" w:cstheme="minorHAnsi"/>
                <w:sz w:val="22"/>
                <w:szCs w:val="22"/>
                <w:lang w:val="en-US"/>
              </w:rPr>
              <w:t xml:space="preserve"> initiatives contradicted with the overall spirit of supporting the civil society development.  </w:t>
            </w:r>
          </w:p>
          <w:p w14:paraId="43ABDF66" w14:textId="55B5C551" w:rsidR="00E55C60" w:rsidRPr="00B660D9" w:rsidRDefault="00113C7D" w:rsidP="00E55C60">
            <w:pPr>
              <w:pStyle w:val="ListParagraph"/>
              <w:numPr>
                <w:ilvl w:val="0"/>
                <w:numId w:val="25"/>
              </w:numPr>
              <w:rPr>
                <w:rFonts w:asciiTheme="minorHAnsi" w:hAnsiTheme="minorHAnsi" w:cstheme="minorHAnsi"/>
                <w:sz w:val="22"/>
                <w:szCs w:val="22"/>
              </w:rPr>
            </w:pPr>
            <w:r>
              <w:rPr>
                <w:rFonts w:asciiTheme="minorHAnsi" w:hAnsiTheme="minorHAnsi" w:cstheme="minorHAnsi"/>
                <w:iCs/>
                <w:color w:val="000000"/>
                <w:sz w:val="22"/>
                <w:szCs w:val="22"/>
              </w:rPr>
              <w:t xml:space="preserve">The National Human Rights Strategy and Action plan were developed and approved. </w:t>
            </w:r>
            <w:r w:rsidR="00E55C60" w:rsidRPr="00B660D9">
              <w:rPr>
                <w:rFonts w:asciiTheme="minorHAnsi" w:hAnsiTheme="minorHAnsi" w:cstheme="minorHAnsi"/>
                <w:iCs/>
                <w:color w:val="000000"/>
                <w:sz w:val="22"/>
                <w:szCs w:val="22"/>
              </w:rPr>
              <w:t>As assess</w:t>
            </w:r>
            <w:r w:rsidR="00E55C60">
              <w:rPr>
                <w:rFonts w:asciiTheme="minorHAnsi" w:hAnsiTheme="minorHAnsi" w:cstheme="minorHAnsi"/>
                <w:iCs/>
                <w:color w:val="000000"/>
                <w:sz w:val="22"/>
                <w:szCs w:val="22"/>
              </w:rPr>
              <w:t>ed</w:t>
            </w:r>
            <w:r w:rsidR="00E55C60" w:rsidRPr="00B660D9">
              <w:rPr>
                <w:rFonts w:asciiTheme="minorHAnsi" w:hAnsiTheme="minorHAnsi" w:cstheme="minorHAnsi"/>
                <w:iCs/>
                <w:color w:val="000000"/>
                <w:sz w:val="22"/>
                <w:szCs w:val="22"/>
              </w:rPr>
              <w:t xml:space="preserve"> by the Ombudsperson and NGOs, </w:t>
            </w:r>
            <w:r w:rsidR="00E55C60">
              <w:rPr>
                <w:rFonts w:asciiTheme="minorHAnsi" w:hAnsiTheme="minorHAnsi" w:cstheme="minorHAnsi"/>
                <w:iCs/>
                <w:color w:val="000000"/>
                <w:sz w:val="22"/>
                <w:szCs w:val="22"/>
              </w:rPr>
              <w:t xml:space="preserve">21% of the activities envisaged by the </w:t>
            </w:r>
            <w:r w:rsidR="00E55C60" w:rsidRPr="00B660D9">
              <w:rPr>
                <w:rFonts w:asciiTheme="minorHAnsi" w:hAnsiTheme="minorHAnsi" w:cstheme="minorHAnsi"/>
                <w:iCs/>
                <w:color w:val="000000"/>
                <w:sz w:val="22"/>
                <w:szCs w:val="22"/>
              </w:rPr>
              <w:t xml:space="preserve">National Human Rights Strategy </w:t>
            </w:r>
            <w:r w:rsidR="00E55C60">
              <w:rPr>
                <w:rFonts w:asciiTheme="minorHAnsi" w:hAnsiTheme="minorHAnsi" w:cstheme="minorHAnsi"/>
                <w:iCs/>
                <w:color w:val="000000"/>
                <w:sz w:val="22"/>
                <w:szCs w:val="22"/>
              </w:rPr>
              <w:t xml:space="preserve">were fully implemented, </w:t>
            </w:r>
            <w:r w:rsidR="002E6389">
              <w:rPr>
                <w:rFonts w:asciiTheme="minorHAnsi" w:hAnsiTheme="minorHAnsi" w:cstheme="minorHAnsi"/>
                <w:iCs/>
                <w:color w:val="000000"/>
                <w:sz w:val="22"/>
                <w:szCs w:val="22"/>
              </w:rPr>
              <w:t>while</w:t>
            </w:r>
            <w:r w:rsidR="00E55C60">
              <w:rPr>
                <w:rFonts w:asciiTheme="minorHAnsi" w:hAnsiTheme="minorHAnsi" w:cstheme="minorHAnsi"/>
                <w:iCs/>
                <w:color w:val="000000"/>
                <w:sz w:val="22"/>
                <w:szCs w:val="22"/>
              </w:rPr>
              <w:t xml:space="preserve"> </w:t>
            </w:r>
            <w:r w:rsidR="00E55C60" w:rsidRPr="00B660D9">
              <w:rPr>
                <w:rFonts w:asciiTheme="minorHAnsi" w:hAnsiTheme="minorHAnsi" w:cstheme="minorHAnsi"/>
                <w:iCs/>
                <w:color w:val="000000"/>
                <w:sz w:val="22"/>
                <w:szCs w:val="22"/>
              </w:rPr>
              <w:t xml:space="preserve">13% </w:t>
            </w:r>
            <w:r w:rsidR="002E6389">
              <w:rPr>
                <w:rFonts w:asciiTheme="minorHAnsi" w:hAnsiTheme="minorHAnsi" w:cstheme="minorHAnsi"/>
                <w:iCs/>
                <w:color w:val="000000"/>
                <w:sz w:val="22"/>
                <w:szCs w:val="22"/>
              </w:rPr>
              <w:t xml:space="preserve">were </w:t>
            </w:r>
            <w:r w:rsidR="00E55C60" w:rsidRPr="00B660D9">
              <w:rPr>
                <w:rFonts w:asciiTheme="minorHAnsi" w:hAnsiTheme="minorHAnsi" w:cstheme="minorHAnsi"/>
                <w:iCs/>
                <w:color w:val="000000"/>
                <w:sz w:val="22"/>
                <w:szCs w:val="22"/>
              </w:rPr>
              <w:t>partial</w:t>
            </w:r>
            <w:r w:rsidR="00E55C60">
              <w:rPr>
                <w:rFonts w:asciiTheme="minorHAnsi" w:hAnsiTheme="minorHAnsi" w:cstheme="minorHAnsi"/>
                <w:iCs/>
                <w:color w:val="000000"/>
                <w:sz w:val="22"/>
                <w:szCs w:val="22"/>
              </w:rPr>
              <w:t>ly</w:t>
            </w:r>
            <w:r w:rsidR="00E55C60" w:rsidRPr="00B660D9">
              <w:rPr>
                <w:rFonts w:asciiTheme="minorHAnsi" w:hAnsiTheme="minorHAnsi" w:cstheme="minorHAnsi"/>
                <w:iCs/>
                <w:color w:val="000000"/>
                <w:sz w:val="22"/>
                <w:szCs w:val="22"/>
              </w:rPr>
              <w:t xml:space="preserve"> implementat</w:t>
            </w:r>
            <w:r w:rsidR="002E6389">
              <w:rPr>
                <w:rFonts w:asciiTheme="minorHAnsi" w:hAnsiTheme="minorHAnsi" w:cstheme="minorHAnsi"/>
                <w:iCs/>
                <w:color w:val="000000"/>
                <w:sz w:val="22"/>
                <w:szCs w:val="22"/>
              </w:rPr>
              <w:t>ed</w:t>
            </w:r>
            <w:r w:rsidR="00E55C60" w:rsidRPr="00B660D9">
              <w:rPr>
                <w:rFonts w:asciiTheme="minorHAnsi" w:hAnsiTheme="minorHAnsi" w:cstheme="minorHAnsi"/>
                <w:iCs/>
                <w:color w:val="000000"/>
                <w:sz w:val="22"/>
                <w:szCs w:val="22"/>
              </w:rPr>
              <w:t>.</w:t>
            </w:r>
          </w:p>
          <w:p w14:paraId="33A61AE1" w14:textId="77777777" w:rsidR="00E55C60" w:rsidRDefault="00E55C60" w:rsidP="00E55C60">
            <w:pPr>
              <w:pStyle w:val="ListParagraph"/>
              <w:numPr>
                <w:ilvl w:val="0"/>
                <w:numId w:val="25"/>
              </w:numPr>
              <w:rPr>
                <w:rFonts w:ascii="Calibri" w:hAnsi="Calibri" w:cs="Times New Roman"/>
                <w:color w:val="000000"/>
                <w:sz w:val="22"/>
                <w:szCs w:val="22"/>
                <w:lang w:val="en-US" w:eastAsia="en-US"/>
              </w:rPr>
            </w:pPr>
            <w:r>
              <w:rPr>
                <w:rFonts w:asciiTheme="minorHAnsi" w:hAnsiTheme="minorHAnsi" w:cstheme="minorHAnsi"/>
                <w:iCs/>
                <w:color w:val="000000"/>
                <w:sz w:val="22"/>
                <w:szCs w:val="22"/>
              </w:rPr>
              <w:t>S</w:t>
            </w:r>
            <w:r w:rsidRPr="00956562">
              <w:rPr>
                <w:rFonts w:asciiTheme="minorHAnsi" w:hAnsiTheme="minorHAnsi" w:cstheme="minorHAnsi"/>
                <w:iCs/>
                <w:color w:val="000000"/>
                <w:sz w:val="22"/>
                <w:szCs w:val="22"/>
              </w:rPr>
              <w:t>ince the beginning of the conflict in mid-April 2014 until 15 August 2017, OHCHR recorded 34,766 conflict-related casualties in Ukraine, among civilians, Ukrainian armed forces and members of the armed groups. This includes 10,225 people killed and 24,541 injured (para 35, 19th OHCHR Report on the human rights situation in Ukraine).</w:t>
            </w:r>
          </w:p>
          <w:p w14:paraId="0057807B" w14:textId="5BA809D8" w:rsidR="00B53557" w:rsidRPr="00E55C60" w:rsidRDefault="00E55C60" w:rsidP="00DA207D">
            <w:pPr>
              <w:pStyle w:val="ListParagraph"/>
              <w:numPr>
                <w:ilvl w:val="0"/>
                <w:numId w:val="25"/>
              </w:numPr>
              <w:rPr>
                <w:rFonts w:asciiTheme="minorHAnsi" w:hAnsiTheme="minorHAnsi" w:cstheme="minorHAnsi"/>
                <w:sz w:val="22"/>
                <w:szCs w:val="22"/>
              </w:rPr>
            </w:pPr>
            <w:r w:rsidRPr="00E55C60">
              <w:rPr>
                <w:rFonts w:asciiTheme="minorHAnsi" w:hAnsiTheme="minorHAnsi" w:cstheme="minorHAnsi"/>
                <w:iCs/>
                <w:color w:val="000000"/>
                <w:sz w:val="22"/>
                <w:szCs w:val="22"/>
              </w:rPr>
              <w:t xml:space="preserve">Amendments to the current legislation were enforced by Parliament in 2017 expanding </w:t>
            </w:r>
            <w:r w:rsidRPr="00E55C60">
              <w:rPr>
                <w:rFonts w:asciiTheme="minorHAnsi" w:hAnsiTheme="minorHAnsi" w:cstheme="minorHAnsi"/>
                <w:sz w:val="22"/>
                <w:szCs w:val="22"/>
              </w:rPr>
              <w:t xml:space="preserve">the scope of subjects </w:t>
            </w:r>
            <w:r w:rsidR="00860A9E">
              <w:rPr>
                <w:rFonts w:asciiTheme="minorHAnsi" w:hAnsiTheme="minorHAnsi" w:cstheme="minorHAnsi"/>
                <w:sz w:val="22"/>
                <w:szCs w:val="22"/>
              </w:rPr>
              <w:t>of</w:t>
            </w:r>
            <w:r w:rsidRPr="00E55C60">
              <w:rPr>
                <w:rFonts w:asciiTheme="minorHAnsi" w:hAnsiTheme="minorHAnsi" w:cstheme="minorHAnsi"/>
                <w:sz w:val="22"/>
                <w:szCs w:val="22"/>
              </w:rPr>
              <w:t xml:space="preserve"> e-declaration covering CSOs’ staff, experts, consultants, individuals who provide/supply any auxiliary services or products, and participants of seminars, trainings, other events organized at the expense of an anti-corruption donor-funded project. </w:t>
            </w:r>
          </w:p>
          <w:p w14:paraId="71CA3A44" w14:textId="77777777" w:rsidR="00B53557" w:rsidRDefault="00B53557" w:rsidP="00477B38">
            <w:pPr>
              <w:spacing w:after="120"/>
              <w:jc w:val="both"/>
              <w:rPr>
                <w:rFonts w:asciiTheme="minorHAnsi" w:hAnsiTheme="minorHAnsi" w:cstheme="minorHAnsi"/>
                <w:b/>
                <w:sz w:val="22"/>
                <w:szCs w:val="22"/>
              </w:rPr>
            </w:pPr>
          </w:p>
          <w:p w14:paraId="2A7FBBB2" w14:textId="37E89C8A" w:rsidR="00477B38" w:rsidRPr="00EF24AF" w:rsidRDefault="00477B38" w:rsidP="00477B38">
            <w:pPr>
              <w:spacing w:after="120"/>
              <w:jc w:val="both"/>
              <w:rPr>
                <w:rFonts w:asciiTheme="minorHAnsi" w:hAnsiTheme="minorHAnsi" w:cstheme="minorHAnsi"/>
                <w:b/>
                <w:sz w:val="22"/>
                <w:szCs w:val="22"/>
              </w:rPr>
            </w:pPr>
            <w:r w:rsidRPr="00EF24AF">
              <w:rPr>
                <w:rFonts w:asciiTheme="minorHAnsi" w:hAnsiTheme="minorHAnsi" w:cstheme="minorHAnsi"/>
                <w:b/>
                <w:sz w:val="22"/>
                <w:szCs w:val="22"/>
              </w:rPr>
              <w:t>OVERVIEW</w:t>
            </w:r>
          </w:p>
          <w:p w14:paraId="16A67823" w14:textId="524E50CE" w:rsidR="001A2049" w:rsidRDefault="0057746B" w:rsidP="0057746B">
            <w:pPr>
              <w:pStyle w:val="FootnoteText"/>
              <w:widowControl w:val="0"/>
              <w:tabs>
                <w:tab w:val="left" w:pos="180"/>
              </w:tabs>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 xml:space="preserve">The years of the project period in Ukraine </w:t>
            </w:r>
            <w:r w:rsidR="001A2049">
              <w:rPr>
                <w:rFonts w:asciiTheme="minorHAnsi" w:hAnsiTheme="minorHAnsi" w:cstheme="minorHAnsi"/>
                <w:iCs/>
                <w:color w:val="000000"/>
                <w:sz w:val="22"/>
                <w:szCs w:val="22"/>
                <w:lang w:val="en-GB"/>
              </w:rPr>
              <w:t>have been characterized by developments that have drastically changed the political and security landscape. The 2013-2014 Revolution of Dignity and subsequent armed conflict in Donbas have further thrown back Ukraine’s security, economy and public finances. This has had significant consequences for the poorer segments of society, exacerbating already existing vulnerabilities. As a result of the conflict</w:t>
            </w:r>
            <w:r w:rsidR="00B2230C">
              <w:rPr>
                <w:rFonts w:asciiTheme="minorHAnsi" w:hAnsiTheme="minorHAnsi" w:cstheme="minorHAnsi"/>
                <w:iCs/>
                <w:color w:val="000000"/>
                <w:sz w:val="22"/>
                <w:szCs w:val="22"/>
                <w:lang w:val="en-GB"/>
              </w:rPr>
              <w:t>,</w:t>
            </w:r>
            <w:r w:rsidR="001A2049">
              <w:rPr>
                <w:rFonts w:asciiTheme="minorHAnsi" w:hAnsiTheme="minorHAnsi" w:cstheme="minorHAnsi"/>
                <w:iCs/>
                <w:color w:val="000000"/>
                <w:sz w:val="22"/>
                <w:szCs w:val="22"/>
                <w:lang w:val="en-GB"/>
              </w:rPr>
              <w:t xml:space="preserve"> over 10,000 people were killed, over 1,7 mln people were displaced, and over 5 mln people live in the conflict-affected areas.  The economic impact of the protracted crisis is estimated at 20% of Ukraine’s GDP. The ongoing volatility of the political and security environment continues to threaten the country’s peace, stability, and democratic development.</w:t>
            </w:r>
          </w:p>
          <w:p w14:paraId="0B5B8B18" w14:textId="77777777" w:rsidR="001A2049" w:rsidRDefault="001A2049" w:rsidP="001A2049">
            <w:pPr>
              <w:pStyle w:val="FootnoteText"/>
              <w:widowControl w:val="0"/>
              <w:tabs>
                <w:tab w:val="left" w:pos="180"/>
              </w:tabs>
              <w:jc w:val="both"/>
              <w:rPr>
                <w:rFonts w:asciiTheme="minorHAnsi" w:hAnsiTheme="minorHAnsi" w:cstheme="minorHAnsi"/>
                <w:iCs/>
                <w:color w:val="000000"/>
                <w:sz w:val="22"/>
                <w:szCs w:val="22"/>
                <w:lang w:val="en-GB"/>
              </w:rPr>
            </w:pPr>
          </w:p>
          <w:p w14:paraId="1096310A" w14:textId="39FA8B27" w:rsidR="001A2049" w:rsidRDefault="001A2049" w:rsidP="001A2049">
            <w:pPr>
              <w:pStyle w:val="FootnoteText"/>
              <w:widowControl w:val="0"/>
              <w:tabs>
                <w:tab w:val="left" w:pos="180"/>
              </w:tabs>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Yet</w:t>
            </w:r>
            <w:r w:rsidR="00B2230C">
              <w:rPr>
                <w:rFonts w:asciiTheme="minorHAnsi" w:hAnsiTheme="minorHAnsi" w:cstheme="minorHAnsi"/>
                <w:iCs/>
                <w:color w:val="000000"/>
                <w:sz w:val="22"/>
                <w:szCs w:val="22"/>
                <w:lang w:val="en-GB"/>
              </w:rPr>
              <w:t>,</w:t>
            </w:r>
            <w:r>
              <w:rPr>
                <w:rFonts w:asciiTheme="minorHAnsi" w:hAnsiTheme="minorHAnsi" w:cstheme="minorHAnsi"/>
                <w:iCs/>
                <w:color w:val="000000"/>
                <w:sz w:val="22"/>
                <w:szCs w:val="22"/>
                <w:lang w:val="en-GB"/>
              </w:rPr>
              <w:t xml:space="preserve"> despite </w:t>
            </w:r>
            <w:r w:rsidR="00B2230C">
              <w:rPr>
                <w:rFonts w:asciiTheme="minorHAnsi" w:hAnsiTheme="minorHAnsi" w:cstheme="minorHAnsi"/>
                <w:iCs/>
                <w:color w:val="000000"/>
                <w:sz w:val="22"/>
                <w:szCs w:val="22"/>
                <w:lang w:val="en-GB"/>
              </w:rPr>
              <w:t>armed conflict</w:t>
            </w:r>
            <w:r>
              <w:rPr>
                <w:rFonts w:asciiTheme="minorHAnsi" w:hAnsiTheme="minorHAnsi" w:cstheme="minorHAnsi"/>
                <w:iCs/>
                <w:color w:val="000000"/>
                <w:sz w:val="22"/>
                <w:szCs w:val="22"/>
                <w:lang w:val="en-GB"/>
              </w:rPr>
              <w:t xml:space="preserve"> and economic obstacles, Ukraine lives through a period of unprecedented reforms.  The post-Maidan government has prioritized </w:t>
            </w:r>
            <w:r w:rsidR="0042277F">
              <w:rPr>
                <w:rFonts w:asciiTheme="minorHAnsi" w:hAnsiTheme="minorHAnsi" w:cstheme="minorHAnsi"/>
                <w:iCs/>
                <w:color w:val="000000"/>
                <w:sz w:val="22"/>
                <w:szCs w:val="22"/>
                <w:lang w:val="en-GB"/>
              </w:rPr>
              <w:t xml:space="preserve">democratic </w:t>
            </w:r>
            <w:r>
              <w:rPr>
                <w:rFonts w:asciiTheme="minorHAnsi" w:hAnsiTheme="minorHAnsi" w:cstheme="minorHAnsi"/>
                <w:iCs/>
                <w:color w:val="000000"/>
                <w:sz w:val="22"/>
                <w:szCs w:val="22"/>
                <w:lang w:val="en-GB"/>
              </w:rPr>
              <w:t>governance reform</w:t>
            </w:r>
            <w:r w:rsidR="0042277F">
              <w:rPr>
                <w:rFonts w:asciiTheme="minorHAnsi" w:hAnsiTheme="minorHAnsi" w:cstheme="minorHAnsi"/>
                <w:iCs/>
                <w:color w:val="000000"/>
                <w:sz w:val="22"/>
                <w:szCs w:val="22"/>
                <w:lang w:val="en-GB"/>
              </w:rPr>
              <w:t>s,</w:t>
            </w:r>
            <w:r>
              <w:rPr>
                <w:rFonts w:asciiTheme="minorHAnsi" w:hAnsiTheme="minorHAnsi" w:cstheme="minorHAnsi"/>
                <w:iCs/>
                <w:color w:val="000000"/>
                <w:sz w:val="22"/>
                <w:szCs w:val="22"/>
                <w:lang w:val="en-GB"/>
              </w:rPr>
              <w:t xml:space="preserve"> and progress has been made in a number of areas, such as </w:t>
            </w:r>
            <w:r w:rsidR="00CD3E3B">
              <w:rPr>
                <w:rFonts w:asciiTheme="minorHAnsi" w:hAnsiTheme="minorHAnsi" w:cstheme="minorHAnsi"/>
                <w:iCs/>
                <w:color w:val="000000"/>
                <w:sz w:val="22"/>
                <w:szCs w:val="22"/>
                <w:lang w:val="en-GB"/>
              </w:rPr>
              <w:t xml:space="preserve">decentralisation, openness and transparency of the public administration, anti-corruption and </w:t>
            </w:r>
            <w:r>
              <w:rPr>
                <w:rFonts w:asciiTheme="minorHAnsi" w:hAnsiTheme="minorHAnsi" w:cstheme="minorHAnsi"/>
                <w:iCs/>
                <w:color w:val="000000"/>
                <w:sz w:val="22"/>
                <w:szCs w:val="22"/>
                <w:lang w:val="en-GB"/>
              </w:rPr>
              <w:t xml:space="preserve">human rights. Since 2015, the economy has slightly recovered, and the outlook has been positive. </w:t>
            </w:r>
          </w:p>
          <w:p w14:paraId="6CE3F8FD" w14:textId="77777777" w:rsidR="001A2049" w:rsidRPr="00347612" w:rsidRDefault="001A2049" w:rsidP="001A2049">
            <w:pPr>
              <w:rPr>
                <w:rFonts w:asciiTheme="minorHAnsi" w:hAnsiTheme="minorHAnsi" w:cstheme="minorHAnsi"/>
                <w:iCs/>
                <w:color w:val="000000"/>
                <w:sz w:val="22"/>
                <w:szCs w:val="22"/>
              </w:rPr>
            </w:pPr>
          </w:p>
          <w:p w14:paraId="6C9A32DB" w14:textId="18E54C59" w:rsidR="001A2049" w:rsidRPr="00DC09E1" w:rsidRDefault="001A2049" w:rsidP="00D203B1">
            <w:pPr>
              <w:rPr>
                <w:rFonts w:asciiTheme="minorHAnsi" w:hAnsiTheme="minorHAnsi" w:cstheme="minorHAnsi"/>
                <w:iCs/>
                <w:color w:val="000000"/>
                <w:sz w:val="22"/>
                <w:szCs w:val="22"/>
              </w:rPr>
            </w:pPr>
            <w:r w:rsidRPr="0057746B">
              <w:rPr>
                <w:rFonts w:asciiTheme="minorHAnsi" w:hAnsiTheme="minorHAnsi" w:cstheme="minorHAnsi"/>
                <w:b/>
                <w:i/>
                <w:iCs/>
                <w:color w:val="000000"/>
                <w:sz w:val="22"/>
                <w:szCs w:val="22"/>
              </w:rPr>
              <w:t>Trends in civil society</w:t>
            </w:r>
            <w:r w:rsidR="00AE17EB">
              <w:rPr>
                <w:rFonts w:asciiTheme="minorHAnsi" w:hAnsiTheme="minorHAnsi" w:cstheme="minorHAnsi"/>
                <w:i/>
                <w:iCs/>
                <w:color w:val="000000"/>
                <w:sz w:val="22"/>
                <w:szCs w:val="22"/>
              </w:rPr>
              <w:t xml:space="preserve">: </w:t>
            </w:r>
            <w:r w:rsidRPr="00347612">
              <w:rPr>
                <w:rFonts w:asciiTheme="minorHAnsi" w:hAnsiTheme="minorHAnsi" w:cstheme="minorHAnsi"/>
                <w:iCs/>
                <w:color w:val="000000"/>
                <w:sz w:val="22"/>
                <w:szCs w:val="22"/>
              </w:rPr>
              <w:t xml:space="preserve">In Ukraine, civil society has developed steadily over the past </w:t>
            </w:r>
            <w:r w:rsidR="0057746B">
              <w:rPr>
                <w:rFonts w:asciiTheme="minorHAnsi" w:hAnsiTheme="minorHAnsi" w:cstheme="minorHAnsi"/>
                <w:iCs/>
                <w:color w:val="000000"/>
                <w:sz w:val="22"/>
                <w:szCs w:val="22"/>
              </w:rPr>
              <w:t>years</w:t>
            </w:r>
            <w:r w:rsidRPr="00347612">
              <w:rPr>
                <w:rFonts w:asciiTheme="minorHAnsi" w:hAnsiTheme="minorHAnsi" w:cstheme="minorHAnsi"/>
                <w:iCs/>
                <w:color w:val="000000"/>
                <w:sz w:val="22"/>
                <w:szCs w:val="22"/>
              </w:rPr>
              <w:t xml:space="preserve">. Attitudes toward civic engagement have been slowly changing, including a higher standard for human rights, especially among the younger generation and in urban centres. Throughout the last years, </w:t>
            </w:r>
            <w:r w:rsidR="0057746B">
              <w:rPr>
                <w:rFonts w:asciiTheme="minorHAnsi" w:hAnsiTheme="minorHAnsi" w:cstheme="minorHAnsi"/>
                <w:iCs/>
                <w:color w:val="000000"/>
                <w:sz w:val="22"/>
                <w:szCs w:val="22"/>
              </w:rPr>
              <w:t xml:space="preserve">civil society organisations have been drivers for change and have played a central role in influencing legislation, restoring dialogue and trust with authorities and building national unity. </w:t>
            </w:r>
            <w:r w:rsidRPr="00347612">
              <w:rPr>
                <w:rFonts w:asciiTheme="minorHAnsi" w:hAnsiTheme="minorHAnsi" w:cstheme="minorHAnsi"/>
                <w:iCs/>
                <w:color w:val="000000"/>
                <w:sz w:val="22"/>
                <w:szCs w:val="22"/>
              </w:rPr>
              <w:t xml:space="preserve">CSOs </w:t>
            </w:r>
            <w:r w:rsidR="00D203B1">
              <w:rPr>
                <w:rFonts w:asciiTheme="minorHAnsi" w:hAnsiTheme="minorHAnsi" w:cstheme="minorHAnsi"/>
                <w:iCs/>
                <w:color w:val="000000"/>
                <w:sz w:val="22"/>
                <w:szCs w:val="22"/>
              </w:rPr>
              <w:t xml:space="preserve">actively </w:t>
            </w:r>
            <w:r w:rsidR="00D203B1" w:rsidRPr="00347612">
              <w:rPr>
                <w:rFonts w:asciiTheme="minorHAnsi" w:hAnsiTheme="minorHAnsi" w:cstheme="minorHAnsi"/>
                <w:iCs/>
                <w:color w:val="000000"/>
                <w:sz w:val="22"/>
                <w:szCs w:val="22"/>
              </w:rPr>
              <w:t>advocat</w:t>
            </w:r>
            <w:r w:rsidR="00D203B1">
              <w:rPr>
                <w:rFonts w:asciiTheme="minorHAnsi" w:hAnsiTheme="minorHAnsi" w:cstheme="minorHAnsi"/>
                <w:iCs/>
                <w:color w:val="000000"/>
                <w:sz w:val="22"/>
                <w:szCs w:val="22"/>
              </w:rPr>
              <w:t>e</w:t>
            </w:r>
            <w:r w:rsidR="00D203B1" w:rsidRPr="00347612">
              <w:rPr>
                <w:rFonts w:asciiTheme="minorHAnsi" w:hAnsiTheme="minorHAnsi" w:cstheme="minorHAnsi"/>
                <w:iCs/>
                <w:color w:val="000000"/>
                <w:sz w:val="22"/>
                <w:szCs w:val="22"/>
              </w:rPr>
              <w:t xml:space="preserve"> for the </w:t>
            </w:r>
            <w:r w:rsidR="00D203B1">
              <w:rPr>
                <w:rFonts w:asciiTheme="minorHAnsi" w:hAnsiTheme="minorHAnsi" w:cstheme="minorHAnsi"/>
                <w:iCs/>
                <w:color w:val="000000"/>
                <w:sz w:val="22"/>
                <w:szCs w:val="22"/>
              </w:rPr>
              <w:t xml:space="preserve">democratic reforms in different areas, </w:t>
            </w:r>
            <w:r w:rsidR="00B2230C">
              <w:rPr>
                <w:rFonts w:asciiTheme="minorHAnsi" w:hAnsiTheme="minorHAnsi" w:cstheme="minorHAnsi"/>
                <w:iCs/>
                <w:color w:val="000000"/>
                <w:sz w:val="22"/>
                <w:szCs w:val="22"/>
              </w:rPr>
              <w:t>such as</w:t>
            </w:r>
            <w:r w:rsidR="00D203B1">
              <w:rPr>
                <w:rFonts w:asciiTheme="minorHAnsi" w:hAnsiTheme="minorHAnsi" w:cstheme="minorHAnsi"/>
                <w:iCs/>
                <w:color w:val="000000"/>
                <w:sz w:val="22"/>
                <w:szCs w:val="22"/>
              </w:rPr>
              <w:t xml:space="preserve"> </w:t>
            </w:r>
            <w:r w:rsidR="00D203B1" w:rsidRPr="00347612">
              <w:rPr>
                <w:rFonts w:asciiTheme="minorHAnsi" w:hAnsiTheme="minorHAnsi" w:cstheme="minorHAnsi"/>
                <w:iCs/>
                <w:color w:val="000000"/>
                <w:sz w:val="22"/>
                <w:szCs w:val="22"/>
              </w:rPr>
              <w:t>government transparency and accountability</w:t>
            </w:r>
            <w:r w:rsidR="00D203B1">
              <w:rPr>
                <w:rFonts w:asciiTheme="minorHAnsi" w:hAnsiTheme="minorHAnsi" w:cstheme="minorHAnsi"/>
                <w:iCs/>
                <w:color w:val="000000"/>
                <w:sz w:val="22"/>
                <w:szCs w:val="22"/>
              </w:rPr>
              <w:t>,</w:t>
            </w:r>
            <w:r w:rsidR="00D203B1" w:rsidRPr="00347612">
              <w:rPr>
                <w:rFonts w:asciiTheme="minorHAnsi" w:hAnsiTheme="minorHAnsi" w:cstheme="minorHAnsi"/>
                <w:iCs/>
                <w:color w:val="000000"/>
                <w:sz w:val="22"/>
                <w:szCs w:val="22"/>
              </w:rPr>
              <w:t xml:space="preserve"> combat of corruption, </w:t>
            </w:r>
            <w:r w:rsidR="00D203B1" w:rsidRPr="00DC09E1">
              <w:rPr>
                <w:rFonts w:asciiTheme="minorHAnsi" w:hAnsiTheme="minorHAnsi" w:cstheme="minorHAnsi"/>
                <w:iCs/>
                <w:color w:val="000000"/>
                <w:sz w:val="22"/>
                <w:szCs w:val="22"/>
              </w:rPr>
              <w:t xml:space="preserve">promoting decentralisation, reform of prosecutorial and judicial systems. They do so through a number of different channels </w:t>
            </w:r>
            <w:r w:rsidR="00B2230C">
              <w:rPr>
                <w:rFonts w:asciiTheme="minorHAnsi" w:hAnsiTheme="minorHAnsi" w:cstheme="minorHAnsi"/>
                <w:iCs/>
                <w:color w:val="000000"/>
                <w:sz w:val="22"/>
                <w:szCs w:val="22"/>
              </w:rPr>
              <w:t>including</w:t>
            </w:r>
            <w:r w:rsidR="00D203B1" w:rsidRPr="00DC09E1">
              <w:rPr>
                <w:rFonts w:asciiTheme="minorHAnsi" w:hAnsiTheme="minorHAnsi" w:cstheme="minorHAnsi"/>
                <w:iCs/>
                <w:color w:val="000000"/>
                <w:sz w:val="22"/>
                <w:szCs w:val="22"/>
              </w:rPr>
              <w:t xml:space="preserve"> policy consultation, national civic expert platforms like the Reanimation Package Reforms (RPR), advocacy campaigns, social media etc. </w:t>
            </w:r>
            <w:r w:rsidRPr="00DC09E1">
              <w:rPr>
                <w:rFonts w:asciiTheme="minorHAnsi" w:hAnsiTheme="minorHAnsi" w:cstheme="minorHAnsi"/>
                <w:iCs/>
                <w:color w:val="000000"/>
                <w:sz w:val="22"/>
                <w:szCs w:val="22"/>
              </w:rPr>
              <w:t xml:space="preserve">Civil society leaders, representatives and journalists entered parliament in order to revive political parties as proactive agents of change and fight against corruption. </w:t>
            </w:r>
          </w:p>
          <w:p w14:paraId="729DE73A" w14:textId="77777777" w:rsidR="001A2049" w:rsidRPr="00DC09E1" w:rsidRDefault="001A2049" w:rsidP="001A2049">
            <w:pPr>
              <w:jc w:val="both"/>
              <w:rPr>
                <w:rFonts w:asciiTheme="minorHAnsi" w:hAnsiTheme="minorHAnsi" w:cstheme="minorHAnsi"/>
                <w:iCs/>
                <w:color w:val="000000"/>
                <w:sz w:val="22"/>
                <w:szCs w:val="22"/>
              </w:rPr>
            </w:pPr>
          </w:p>
          <w:p w14:paraId="24DE3515" w14:textId="2FAEBEFC" w:rsidR="00DC09E1" w:rsidRPr="00DC09E1" w:rsidRDefault="00DC09E1" w:rsidP="00DC09E1">
            <w:pPr>
              <w:rPr>
                <w:rFonts w:asciiTheme="minorHAnsi" w:hAnsiTheme="minorHAnsi" w:cstheme="minorHAnsi"/>
                <w:sz w:val="22"/>
                <w:szCs w:val="22"/>
                <w:lang w:val="en-US"/>
              </w:rPr>
            </w:pPr>
            <w:r w:rsidRPr="00DC09E1">
              <w:rPr>
                <w:rFonts w:asciiTheme="minorHAnsi" w:hAnsiTheme="minorHAnsi" w:cstheme="minorHAnsi"/>
                <w:sz w:val="22"/>
                <w:szCs w:val="22"/>
                <w:lang w:val="en-US"/>
              </w:rPr>
              <w:t xml:space="preserve">In general, there has been a decrease in funding to CSOs from both the private sector and from state budget, </w:t>
            </w:r>
            <w:r w:rsidR="001D3A4B">
              <w:rPr>
                <w:rFonts w:asciiTheme="minorHAnsi" w:hAnsiTheme="minorHAnsi" w:cstheme="minorHAnsi"/>
                <w:sz w:val="22"/>
                <w:szCs w:val="22"/>
                <w:lang w:val="en-US"/>
              </w:rPr>
              <w:t>however, this has benefitted them</w:t>
            </w:r>
            <w:r w:rsidRPr="00DC09E1">
              <w:rPr>
                <w:rFonts w:asciiTheme="minorHAnsi" w:hAnsiTheme="minorHAnsi" w:cstheme="minorHAnsi"/>
                <w:sz w:val="22"/>
                <w:szCs w:val="22"/>
                <w:lang w:val="en-US"/>
              </w:rPr>
              <w:t xml:space="preserve"> </w:t>
            </w:r>
            <w:r w:rsidR="001D3A4B">
              <w:rPr>
                <w:rFonts w:asciiTheme="minorHAnsi" w:hAnsiTheme="minorHAnsi" w:cstheme="minorHAnsi"/>
                <w:sz w:val="22"/>
                <w:szCs w:val="22"/>
                <w:lang w:val="en-US"/>
              </w:rPr>
              <w:t xml:space="preserve">in </w:t>
            </w:r>
            <w:r w:rsidRPr="00DC09E1">
              <w:rPr>
                <w:rFonts w:asciiTheme="minorHAnsi" w:hAnsiTheme="minorHAnsi" w:cstheme="minorHAnsi"/>
                <w:sz w:val="22"/>
                <w:szCs w:val="22"/>
                <w:lang w:val="en-US"/>
              </w:rPr>
              <w:t>terms of their impartiality and independence. Although foreign financial support increased, such funding has been unevenly distributed with over 70% of this support going to organizations assisting IDPs and other victims of the conflict (2015 ISAR Ednannia). Overall, the number of registered CSOs decreased by about 2,000 in 2015 due to the political and economic situation.</w:t>
            </w:r>
          </w:p>
          <w:p w14:paraId="7BA7353A" w14:textId="77777777" w:rsidR="00DC09E1" w:rsidRPr="00DC09E1" w:rsidRDefault="00DC09E1" w:rsidP="00DC09E1">
            <w:pPr>
              <w:rPr>
                <w:rFonts w:asciiTheme="minorHAnsi" w:hAnsiTheme="minorHAnsi" w:cstheme="minorHAnsi"/>
                <w:sz w:val="22"/>
                <w:szCs w:val="22"/>
                <w:lang w:val="en-US"/>
              </w:rPr>
            </w:pPr>
          </w:p>
          <w:p w14:paraId="58B1E0AA" w14:textId="7E90FF8F" w:rsidR="00DC09E1" w:rsidRPr="00DC09E1" w:rsidRDefault="00DC09E1" w:rsidP="00DC09E1">
            <w:pPr>
              <w:rPr>
                <w:rFonts w:asciiTheme="minorHAnsi" w:hAnsiTheme="minorHAnsi" w:cstheme="minorHAnsi"/>
                <w:sz w:val="22"/>
                <w:szCs w:val="22"/>
                <w:lang w:val="en-US"/>
              </w:rPr>
            </w:pPr>
            <w:r w:rsidRPr="00DC09E1">
              <w:rPr>
                <w:rFonts w:asciiTheme="minorHAnsi" w:hAnsiTheme="minorHAnsi" w:cstheme="minorHAnsi"/>
                <w:sz w:val="22"/>
                <w:szCs w:val="22"/>
                <w:lang w:val="en-US"/>
              </w:rPr>
              <w:t xml:space="preserve">The average cumulative 2016 CSO Sustainability Index </w:t>
            </w:r>
            <w:r w:rsidR="0057746B">
              <w:rPr>
                <w:rFonts w:asciiTheme="minorHAnsi" w:hAnsiTheme="minorHAnsi" w:cstheme="minorHAnsi"/>
                <w:sz w:val="22"/>
                <w:szCs w:val="22"/>
                <w:lang w:val="en-US"/>
              </w:rPr>
              <w:t>issued by CCC</w:t>
            </w:r>
            <w:r w:rsidR="00F40212">
              <w:rPr>
                <w:rFonts w:asciiTheme="minorHAnsi" w:hAnsiTheme="minorHAnsi" w:cstheme="minorHAnsi"/>
                <w:sz w:val="22"/>
                <w:szCs w:val="22"/>
                <w:lang w:val="en-US"/>
              </w:rPr>
              <w:t xml:space="preserve"> under USAID support</w:t>
            </w:r>
            <w:r w:rsidR="0057746B">
              <w:rPr>
                <w:rFonts w:asciiTheme="minorHAnsi" w:hAnsiTheme="minorHAnsi" w:cstheme="minorHAnsi"/>
                <w:sz w:val="22"/>
                <w:szCs w:val="22"/>
                <w:lang w:val="en-US"/>
              </w:rPr>
              <w:t xml:space="preserve"> in 2017 </w:t>
            </w:r>
            <w:r w:rsidRPr="00DC09E1">
              <w:rPr>
                <w:rFonts w:asciiTheme="minorHAnsi" w:hAnsiTheme="minorHAnsi" w:cstheme="minorHAnsi"/>
                <w:sz w:val="22"/>
                <w:szCs w:val="22"/>
                <w:lang w:val="en-US"/>
              </w:rPr>
              <w:t>was 3.3 out of 5, which demonstrated some improvement in institutional capacity, governance structures, engagement of supporters, advocacy and public image.</w:t>
            </w:r>
          </w:p>
          <w:p w14:paraId="3B04B77E" w14:textId="77777777" w:rsidR="00DC09E1" w:rsidRPr="00DC09E1" w:rsidRDefault="00DC09E1" w:rsidP="00DC09E1">
            <w:pPr>
              <w:rPr>
                <w:rFonts w:asciiTheme="minorHAnsi" w:hAnsiTheme="minorHAnsi" w:cstheme="minorHAnsi"/>
                <w:sz w:val="22"/>
                <w:szCs w:val="22"/>
                <w:lang w:val="en-US"/>
              </w:rPr>
            </w:pPr>
          </w:p>
          <w:p w14:paraId="3F003F88" w14:textId="5DE19C6B" w:rsidR="00DC09E1" w:rsidRPr="00DC09E1" w:rsidRDefault="00DC09E1" w:rsidP="00DC09E1">
            <w:pPr>
              <w:rPr>
                <w:rFonts w:asciiTheme="minorHAnsi" w:hAnsiTheme="minorHAnsi" w:cstheme="minorHAnsi"/>
                <w:sz w:val="22"/>
                <w:szCs w:val="22"/>
                <w:lang w:val="en-US"/>
              </w:rPr>
            </w:pPr>
            <w:r w:rsidRPr="00DC09E1">
              <w:rPr>
                <w:rFonts w:asciiTheme="minorHAnsi" w:hAnsiTheme="minorHAnsi" w:cstheme="minorHAnsi"/>
                <w:sz w:val="22"/>
                <w:szCs w:val="22"/>
                <w:lang w:val="en-US"/>
              </w:rPr>
              <w:t>The legal framework in general</w:t>
            </w:r>
            <w:r w:rsidR="001D3A4B">
              <w:rPr>
                <w:rFonts w:asciiTheme="minorHAnsi" w:hAnsiTheme="minorHAnsi" w:cstheme="minorHAnsi"/>
                <w:sz w:val="22"/>
                <w:szCs w:val="22"/>
                <w:lang w:val="en-US"/>
              </w:rPr>
              <w:t>, is</w:t>
            </w:r>
            <w:r w:rsidRPr="00DC09E1">
              <w:rPr>
                <w:rFonts w:asciiTheme="minorHAnsi" w:hAnsiTheme="minorHAnsi" w:cstheme="minorHAnsi"/>
                <w:sz w:val="22"/>
                <w:szCs w:val="22"/>
                <w:lang w:val="en-US"/>
              </w:rPr>
              <w:t xml:space="preserve"> open and supportive for civic engagement and civil society initiatives. Civil society organizations have called for a renewed “pact” between civil society and the state which led to the adoption of the </w:t>
            </w:r>
            <w:hyperlink r:id="rId13" w:history="1">
              <w:r w:rsidRPr="00DC09E1">
                <w:rPr>
                  <w:rStyle w:val="Hyperlink"/>
                  <w:rFonts w:asciiTheme="minorHAnsi" w:hAnsiTheme="minorHAnsi" w:cstheme="minorHAnsi"/>
                  <w:sz w:val="22"/>
                  <w:szCs w:val="22"/>
                  <w:lang w:val="en-US"/>
                </w:rPr>
                <w:t>President’s Decree</w:t>
              </w:r>
            </w:hyperlink>
            <w:r w:rsidRPr="00DC09E1">
              <w:rPr>
                <w:rFonts w:asciiTheme="minorHAnsi" w:hAnsiTheme="minorHAnsi" w:cstheme="minorHAnsi"/>
                <w:sz w:val="22"/>
                <w:szCs w:val="22"/>
                <w:lang w:val="en-US"/>
              </w:rPr>
              <w:t xml:space="preserve"> on the National Strategy on Civil Society Development for 2016-2020 providing a general favourable framework for civil society development in the country, however, a number of follow-up legislative initiatives of the authorities contradicted with the overall spirit of supporting the civil society development.  </w:t>
            </w:r>
          </w:p>
          <w:p w14:paraId="07920752" w14:textId="77777777" w:rsidR="00DC09E1" w:rsidRPr="00DC09E1" w:rsidRDefault="00DC09E1" w:rsidP="00DC09E1">
            <w:pPr>
              <w:rPr>
                <w:rFonts w:asciiTheme="minorHAnsi" w:hAnsiTheme="minorHAnsi" w:cstheme="minorHAnsi"/>
                <w:sz w:val="22"/>
                <w:szCs w:val="22"/>
                <w:lang w:val="en-US"/>
              </w:rPr>
            </w:pPr>
          </w:p>
          <w:p w14:paraId="082F9023" w14:textId="54AD4519" w:rsidR="00DC09E1" w:rsidRDefault="00DC09E1" w:rsidP="00DC09E1">
            <w:pPr>
              <w:rPr>
                <w:rFonts w:asciiTheme="minorHAnsi" w:hAnsiTheme="minorHAnsi" w:cstheme="minorHAnsi"/>
                <w:sz w:val="22"/>
                <w:szCs w:val="22"/>
                <w:lang w:val="en-US"/>
              </w:rPr>
            </w:pPr>
            <w:r w:rsidRPr="00DC09E1">
              <w:rPr>
                <w:rFonts w:asciiTheme="minorHAnsi" w:hAnsiTheme="minorHAnsi" w:cstheme="minorHAnsi"/>
                <w:sz w:val="22"/>
                <w:szCs w:val="22"/>
                <w:lang w:val="en-US"/>
              </w:rPr>
              <w:t xml:space="preserve">A UNDP-supported </w:t>
            </w:r>
            <w:hyperlink r:id="rId14" w:history="1">
              <w:r w:rsidRPr="00DC09E1">
                <w:rPr>
                  <w:rStyle w:val="Hyperlink"/>
                  <w:rFonts w:asciiTheme="minorHAnsi" w:hAnsiTheme="minorHAnsi" w:cstheme="minorHAnsi"/>
                  <w:sz w:val="22"/>
                  <w:szCs w:val="22"/>
                  <w:lang w:val="en-US"/>
                </w:rPr>
                <w:t>study</w:t>
              </w:r>
            </w:hyperlink>
            <w:r w:rsidRPr="00DC09E1">
              <w:rPr>
                <w:rFonts w:asciiTheme="minorHAnsi" w:hAnsiTheme="minorHAnsi" w:cstheme="minorHAnsi"/>
                <w:sz w:val="22"/>
                <w:szCs w:val="22"/>
                <w:lang w:val="en-US"/>
              </w:rPr>
              <w:t xml:space="preserve"> seeking to define civil society for Ukraine</w:t>
            </w:r>
            <w:r w:rsidRPr="00DC09E1">
              <w:rPr>
                <w:rStyle w:val="FootnoteReference"/>
                <w:rFonts w:asciiTheme="minorHAnsi" w:hAnsiTheme="minorHAnsi" w:cstheme="minorHAnsi"/>
                <w:sz w:val="22"/>
                <w:szCs w:val="22"/>
                <w:lang w:val="en-US"/>
              </w:rPr>
              <w:footnoteReference w:id="2"/>
            </w:r>
            <w:r w:rsidRPr="00DC09E1">
              <w:rPr>
                <w:rFonts w:asciiTheme="minorHAnsi" w:hAnsiTheme="minorHAnsi" w:cstheme="minorHAnsi"/>
                <w:sz w:val="22"/>
                <w:szCs w:val="22"/>
                <w:lang w:val="en-US"/>
              </w:rPr>
              <w:t>, conducted in 2016, has revealed that the obstacles hindering the development of civil society in Ukraine include: stagnation of institutional capacity building and insufficient state support for capacity building of CSOs; lack of engagement of CSOs in advocacy and implementation of the national policy; limited forms of participatory democracy; lack of state incentives to engage CSOs in educational and public awareness campaigns on pressing issues for society; low participation of CSOs in social-economic development due to the lack of both investments and incentives for social entrepreneurship; lack of established practices to involve CSOs as implementers of earmarked programs at various levels; low capability of CSOs to define, deliver and monitor the quality of social and other socially important services; poor cooperation of CSOs with public authorities hindering cross-sectoral cooperation of CSOs; lack of incentives for volunteer work; limited understanding and insufficient focus on the subject of civil society in curricula of secondary, higher and vocational educational institutions; and lack of a systemized approach to studying and analyzing civil society developments in Ukraine.</w:t>
            </w:r>
          </w:p>
          <w:p w14:paraId="1640A162" w14:textId="487BE326" w:rsidR="00836247" w:rsidRDefault="00836247" w:rsidP="00DC09E1">
            <w:pPr>
              <w:rPr>
                <w:rFonts w:asciiTheme="minorHAnsi" w:hAnsiTheme="minorHAnsi" w:cstheme="minorHAnsi"/>
                <w:sz w:val="22"/>
                <w:szCs w:val="22"/>
                <w:lang w:val="en-US"/>
              </w:rPr>
            </w:pPr>
          </w:p>
          <w:p w14:paraId="53C60BA2" w14:textId="71DABDD4" w:rsidR="00836247" w:rsidRPr="00836247" w:rsidRDefault="00836247" w:rsidP="00836247">
            <w:pPr>
              <w:pStyle w:val="FootnoteText"/>
              <w:rPr>
                <w:rFonts w:asciiTheme="minorHAnsi" w:hAnsiTheme="minorHAnsi" w:cstheme="minorHAnsi"/>
                <w:sz w:val="22"/>
                <w:szCs w:val="22"/>
                <w:lang w:val="en-GB"/>
              </w:rPr>
            </w:pPr>
            <w:bookmarkStart w:id="1" w:name="_Hlk493516986"/>
            <w:r>
              <w:rPr>
                <w:rFonts w:asciiTheme="minorHAnsi" w:hAnsiTheme="minorHAnsi" w:cstheme="minorHAnsi"/>
                <w:sz w:val="22"/>
                <w:szCs w:val="22"/>
                <w:lang w:val="en-GB"/>
              </w:rPr>
              <w:t xml:space="preserve">In 2017, the </w:t>
            </w:r>
            <w:r w:rsidRPr="00EF24AF">
              <w:rPr>
                <w:rFonts w:asciiTheme="minorHAnsi" w:hAnsiTheme="minorHAnsi" w:cstheme="minorHAnsi"/>
                <w:sz w:val="22"/>
                <w:szCs w:val="22"/>
                <w:lang w:val="en-GB"/>
              </w:rPr>
              <w:t>Verkhovna Rada of Ukraine amended the current legislation, which came into effect on 30 March, to expand the scope of subjects to e-declaration</w:t>
            </w:r>
            <w:r>
              <w:rPr>
                <w:rFonts w:asciiTheme="minorHAnsi" w:hAnsiTheme="minorHAnsi" w:cstheme="minorHAnsi"/>
                <w:sz w:val="22"/>
                <w:szCs w:val="22"/>
                <w:lang w:val="en-GB"/>
              </w:rPr>
              <w:t xml:space="preserve"> covering </w:t>
            </w:r>
            <w:r w:rsidRPr="00EF24AF">
              <w:rPr>
                <w:rFonts w:asciiTheme="minorHAnsi" w:hAnsiTheme="minorHAnsi" w:cstheme="minorHAnsi"/>
                <w:sz w:val="22"/>
                <w:szCs w:val="22"/>
                <w:lang w:val="en-GB"/>
              </w:rPr>
              <w:t xml:space="preserve">CSOs’ staff, experts, </w:t>
            </w:r>
            <w:r w:rsidR="000479B5">
              <w:rPr>
                <w:rFonts w:asciiTheme="minorHAnsi" w:hAnsiTheme="minorHAnsi" w:cstheme="minorHAnsi"/>
                <w:sz w:val="22"/>
                <w:szCs w:val="22"/>
                <w:lang w:val="en-GB"/>
              </w:rPr>
              <w:t xml:space="preserve">and </w:t>
            </w:r>
            <w:r w:rsidRPr="00EF24AF">
              <w:rPr>
                <w:rFonts w:asciiTheme="minorHAnsi" w:hAnsiTheme="minorHAnsi" w:cstheme="minorHAnsi"/>
                <w:sz w:val="22"/>
                <w:szCs w:val="22"/>
                <w:lang w:val="en-GB"/>
              </w:rPr>
              <w:t>consultants who receive salar</w:t>
            </w:r>
            <w:r w:rsidR="000479B5">
              <w:rPr>
                <w:rFonts w:asciiTheme="minorHAnsi" w:hAnsiTheme="minorHAnsi" w:cstheme="minorHAnsi"/>
                <w:sz w:val="22"/>
                <w:szCs w:val="22"/>
                <w:lang w:val="en-GB"/>
              </w:rPr>
              <w:t>ies</w:t>
            </w:r>
            <w:r w:rsidRPr="00EF24AF">
              <w:rPr>
                <w:rFonts w:asciiTheme="minorHAnsi" w:hAnsiTheme="minorHAnsi" w:cstheme="minorHAnsi"/>
                <w:sz w:val="22"/>
                <w:szCs w:val="22"/>
                <w:lang w:val="en-GB"/>
              </w:rPr>
              <w:t xml:space="preserve"> or fees from donor-funded anti-corruption projects implemented in Ukraine, individuals who provide/supply any auxiliary services or products, if payment for such services (products) comes – directly or indirectly – from donor-funded anti-corruption project implemented in Ukraine</w:t>
            </w:r>
            <w:r>
              <w:rPr>
                <w:rFonts w:asciiTheme="minorHAnsi" w:hAnsiTheme="minorHAnsi" w:cstheme="minorHAnsi"/>
                <w:sz w:val="22"/>
                <w:szCs w:val="22"/>
                <w:lang w:val="en-GB"/>
              </w:rPr>
              <w:t xml:space="preserve">, and </w:t>
            </w:r>
            <w:r w:rsidRPr="00EF24AF">
              <w:rPr>
                <w:rFonts w:asciiTheme="minorHAnsi" w:hAnsiTheme="minorHAnsi" w:cstheme="minorHAnsi"/>
                <w:sz w:val="22"/>
                <w:szCs w:val="22"/>
                <w:lang w:val="en-GB"/>
              </w:rPr>
              <w:t>participants of seminars, trainings, other events organized at the expense of an anti-corruption donor-funded project</w:t>
            </w:r>
            <w:r>
              <w:rPr>
                <w:rFonts w:asciiTheme="minorHAnsi" w:hAnsiTheme="minorHAnsi" w:cstheme="minorHAnsi"/>
                <w:sz w:val="22"/>
                <w:szCs w:val="22"/>
                <w:lang w:val="en-GB"/>
              </w:rPr>
              <w:t>.</w:t>
            </w:r>
            <w:r w:rsidRPr="00EF24AF">
              <w:rPr>
                <w:rFonts w:asciiTheme="minorHAnsi" w:hAnsiTheme="minorHAnsi" w:cstheme="minorHAnsi"/>
                <w:sz w:val="22"/>
                <w:szCs w:val="22"/>
                <w:lang w:val="en-GB"/>
              </w:rPr>
              <w:t xml:space="preserve"> These discriminatory amendments will have a far-reaching effect on anti-corruption reform in Ukraine. </w:t>
            </w:r>
            <w:r>
              <w:rPr>
                <w:rFonts w:asciiTheme="minorHAnsi" w:hAnsiTheme="minorHAnsi" w:cstheme="minorHAnsi"/>
                <w:sz w:val="22"/>
                <w:szCs w:val="22"/>
                <w:lang w:val="en-GB"/>
              </w:rPr>
              <w:t xml:space="preserve">The </w:t>
            </w:r>
            <w:r w:rsidRPr="00EF24AF">
              <w:rPr>
                <w:rFonts w:asciiTheme="minorHAnsi" w:hAnsiTheme="minorHAnsi" w:cstheme="minorHAnsi"/>
                <w:sz w:val="22"/>
                <w:szCs w:val="22"/>
                <w:lang w:val="en-GB"/>
              </w:rPr>
              <w:t>President of Ukraine has</w:t>
            </w:r>
            <w:r>
              <w:rPr>
                <w:rFonts w:asciiTheme="minorHAnsi" w:hAnsiTheme="minorHAnsi" w:cstheme="minorHAnsi"/>
                <w:sz w:val="22"/>
                <w:szCs w:val="22"/>
                <w:lang w:val="en-GB"/>
              </w:rPr>
              <w:t xml:space="preserve"> </w:t>
            </w:r>
            <w:r w:rsidRPr="00FA73C0">
              <w:rPr>
                <w:rFonts w:asciiTheme="minorHAnsi" w:hAnsiTheme="minorHAnsi" w:cstheme="minorHAnsi"/>
                <w:sz w:val="22"/>
                <w:szCs w:val="22"/>
                <w:lang w:val="en-GB"/>
              </w:rPr>
              <w:t>suggested to substitute these requirements with new reporting obligations for a wide range of NGOs</w:t>
            </w:r>
            <w:r w:rsidRPr="00EF24AF">
              <w:rPr>
                <w:rFonts w:asciiTheme="minorHAnsi" w:hAnsiTheme="minorHAnsi" w:cstheme="minorHAnsi"/>
                <w:sz w:val="22"/>
                <w:szCs w:val="22"/>
                <w:lang w:val="en-GB"/>
              </w:rPr>
              <w:t>, the prospects of cancelling the a</w:t>
            </w:r>
            <w:r>
              <w:rPr>
                <w:rFonts w:asciiTheme="minorHAnsi" w:hAnsiTheme="minorHAnsi" w:cstheme="minorHAnsi"/>
                <w:sz w:val="22"/>
                <w:szCs w:val="22"/>
                <w:lang w:val="en-GB"/>
              </w:rPr>
              <w:t xml:space="preserve">dopted amendments are not clear, and the newly proposed changes </w:t>
            </w:r>
            <w:r w:rsidR="00422114">
              <w:rPr>
                <w:rFonts w:asciiTheme="minorHAnsi" w:hAnsiTheme="minorHAnsi" w:cstheme="minorHAnsi"/>
                <w:sz w:val="22"/>
                <w:szCs w:val="22"/>
                <w:lang w:val="en-GB"/>
              </w:rPr>
              <w:t xml:space="preserve">to CSOs’ reporting </w:t>
            </w:r>
            <w:r>
              <w:rPr>
                <w:rFonts w:asciiTheme="minorHAnsi" w:hAnsiTheme="minorHAnsi" w:cstheme="minorHAnsi"/>
                <w:sz w:val="22"/>
                <w:szCs w:val="22"/>
                <w:lang w:val="en-GB"/>
              </w:rPr>
              <w:t xml:space="preserve">are also quite contradictory causing real confrontation between the authorities and civil society.  </w:t>
            </w:r>
          </w:p>
          <w:bookmarkEnd w:id="1"/>
          <w:p w14:paraId="14E0B9E3" w14:textId="77777777" w:rsidR="001A2049" w:rsidRPr="00DC09E1" w:rsidRDefault="001A2049" w:rsidP="001A2049">
            <w:pPr>
              <w:rPr>
                <w:rFonts w:asciiTheme="minorHAnsi" w:hAnsiTheme="minorHAnsi" w:cstheme="minorHAnsi"/>
                <w:iCs/>
                <w:color w:val="000000"/>
                <w:sz w:val="22"/>
                <w:szCs w:val="22"/>
                <w:lang w:val="en-US"/>
              </w:rPr>
            </w:pPr>
          </w:p>
          <w:p w14:paraId="2C84C7BE" w14:textId="18A033B4" w:rsidR="001A2049" w:rsidRPr="00347612" w:rsidRDefault="001A2049" w:rsidP="00FD78F4">
            <w:pPr>
              <w:rPr>
                <w:rFonts w:asciiTheme="minorHAnsi" w:hAnsiTheme="minorHAnsi" w:cstheme="minorHAnsi"/>
                <w:iCs/>
                <w:color w:val="000000"/>
                <w:sz w:val="22"/>
                <w:szCs w:val="22"/>
              </w:rPr>
            </w:pPr>
            <w:r w:rsidRPr="00836247">
              <w:rPr>
                <w:rFonts w:asciiTheme="minorHAnsi" w:hAnsiTheme="minorHAnsi" w:cstheme="minorHAnsi"/>
                <w:b/>
                <w:i/>
                <w:iCs/>
                <w:color w:val="000000"/>
                <w:sz w:val="22"/>
                <w:szCs w:val="22"/>
              </w:rPr>
              <w:t>Human Rights</w:t>
            </w:r>
            <w:r w:rsidR="00FD78F4" w:rsidRPr="00836247">
              <w:rPr>
                <w:rFonts w:asciiTheme="minorHAnsi" w:hAnsiTheme="minorHAnsi" w:cstheme="minorHAnsi"/>
                <w:b/>
                <w:i/>
                <w:iCs/>
                <w:color w:val="000000"/>
                <w:sz w:val="22"/>
                <w:szCs w:val="22"/>
              </w:rPr>
              <w:t>:</w:t>
            </w:r>
            <w:r w:rsidR="00FD78F4">
              <w:rPr>
                <w:rFonts w:asciiTheme="minorHAnsi" w:hAnsiTheme="minorHAnsi" w:cstheme="minorHAnsi"/>
                <w:i/>
                <w:iCs/>
                <w:color w:val="000000"/>
                <w:sz w:val="22"/>
                <w:szCs w:val="22"/>
              </w:rPr>
              <w:t xml:space="preserve"> </w:t>
            </w:r>
            <w:r w:rsidRPr="00347612">
              <w:rPr>
                <w:rFonts w:asciiTheme="minorHAnsi" w:hAnsiTheme="minorHAnsi" w:cstheme="minorHAnsi"/>
                <w:iCs/>
                <w:color w:val="000000"/>
                <w:sz w:val="22"/>
                <w:szCs w:val="22"/>
              </w:rPr>
              <w:t>Despite a range of formal legal commitments, Ukraine has a generally poor human rights record. In 2016, human rights issues remained on the agenda of the government and there is an ongoing process of implementing the first National Human Rights Strategy.</w:t>
            </w:r>
            <w:r w:rsidR="001B4941">
              <w:rPr>
                <w:rFonts w:asciiTheme="minorHAnsi" w:hAnsiTheme="minorHAnsi" w:cstheme="minorHAnsi"/>
                <w:iCs/>
                <w:color w:val="000000"/>
                <w:sz w:val="22"/>
                <w:szCs w:val="22"/>
              </w:rPr>
              <w:t xml:space="preserve"> </w:t>
            </w:r>
            <w:r w:rsidRPr="00347612">
              <w:rPr>
                <w:rFonts w:asciiTheme="minorHAnsi" w:hAnsiTheme="minorHAnsi" w:cstheme="minorHAnsi"/>
                <w:iCs/>
                <w:color w:val="000000"/>
                <w:sz w:val="22"/>
                <w:szCs w:val="22"/>
              </w:rPr>
              <w:t>It addresses both systemic human rights issues and more recent conflict-related challenges. An assessment conducted by the Ombudsperson and NGOs rate the level of implementation of plan</w:t>
            </w:r>
            <w:r w:rsidR="0057746B">
              <w:rPr>
                <w:rFonts w:asciiTheme="minorHAnsi" w:hAnsiTheme="minorHAnsi" w:cstheme="minorHAnsi"/>
                <w:iCs/>
                <w:color w:val="000000"/>
                <w:sz w:val="22"/>
                <w:szCs w:val="22"/>
              </w:rPr>
              <w:t>ned</w:t>
            </w:r>
            <w:r w:rsidRPr="00347612">
              <w:rPr>
                <w:rFonts w:asciiTheme="minorHAnsi" w:hAnsiTheme="minorHAnsi" w:cstheme="minorHAnsi"/>
                <w:iCs/>
                <w:color w:val="000000"/>
                <w:sz w:val="22"/>
                <w:szCs w:val="22"/>
              </w:rPr>
              <w:t xml:space="preserve"> activities at 21% full implementation and 13% partial implementation. </w:t>
            </w:r>
          </w:p>
          <w:p w14:paraId="7CEF7E3D" w14:textId="77777777" w:rsidR="001A2049" w:rsidRPr="00347612" w:rsidRDefault="001A2049" w:rsidP="001A2049">
            <w:pPr>
              <w:jc w:val="both"/>
              <w:rPr>
                <w:rFonts w:asciiTheme="minorHAnsi" w:hAnsiTheme="minorHAnsi" w:cstheme="minorHAnsi"/>
                <w:iCs/>
                <w:color w:val="000000"/>
                <w:sz w:val="22"/>
                <w:szCs w:val="22"/>
              </w:rPr>
            </w:pPr>
          </w:p>
          <w:p w14:paraId="0ACAEF89" w14:textId="6FB165AC" w:rsidR="001A2049" w:rsidRPr="00347612" w:rsidRDefault="001A2049" w:rsidP="001A2049">
            <w:pPr>
              <w:jc w:val="both"/>
              <w:rPr>
                <w:rFonts w:asciiTheme="minorHAnsi" w:hAnsiTheme="minorHAnsi" w:cstheme="minorHAnsi"/>
                <w:iCs/>
                <w:color w:val="000000"/>
                <w:sz w:val="22"/>
                <w:szCs w:val="22"/>
              </w:rPr>
            </w:pPr>
            <w:r w:rsidRPr="00347612">
              <w:rPr>
                <w:rFonts w:asciiTheme="minorHAnsi" w:hAnsiTheme="minorHAnsi" w:cstheme="minorHAnsi"/>
                <w:iCs/>
                <w:color w:val="000000"/>
                <w:sz w:val="22"/>
                <w:szCs w:val="22"/>
              </w:rPr>
              <w:t xml:space="preserve">The protracted economic crisis and the armed conflict have deepened the existing gender gaps, and negatively affected gender equality and human rights. Following the outbreak of conflict in Eastern Ukraine in 2014 and large-scale internal displacement, and as a consequence from the annexation of Crimea by the Russian Federation, many human rights actors reported a general deterioration in a number of areas of basic rights and freedoms. </w:t>
            </w:r>
            <w:r w:rsidR="00836247">
              <w:rPr>
                <w:rFonts w:asciiTheme="minorHAnsi" w:hAnsiTheme="minorHAnsi" w:cstheme="minorHAnsi"/>
                <w:iCs/>
                <w:color w:val="000000"/>
                <w:sz w:val="22"/>
                <w:szCs w:val="22"/>
              </w:rPr>
              <w:t>S</w:t>
            </w:r>
            <w:r w:rsidR="00836247" w:rsidRPr="00956562">
              <w:rPr>
                <w:rFonts w:asciiTheme="minorHAnsi" w:hAnsiTheme="minorHAnsi" w:cstheme="minorHAnsi"/>
                <w:iCs/>
                <w:color w:val="000000"/>
                <w:sz w:val="22"/>
                <w:szCs w:val="22"/>
              </w:rPr>
              <w:t xml:space="preserve">ince the beginning of the conflict in mid-April 2014 until 15 August 2017, OHCHR recorded 34,766 conflict-related casualties in Ukraine, among civilians, Ukrainian armed forces and members of armed groups. </w:t>
            </w:r>
            <w:r w:rsidR="000479B5">
              <w:rPr>
                <w:rFonts w:asciiTheme="minorHAnsi" w:hAnsiTheme="minorHAnsi" w:cstheme="minorHAnsi"/>
                <w:iCs/>
                <w:color w:val="000000"/>
                <w:sz w:val="22"/>
                <w:szCs w:val="22"/>
              </w:rPr>
              <w:t>Casualties</w:t>
            </w:r>
            <w:r w:rsidR="00836247" w:rsidRPr="00956562">
              <w:rPr>
                <w:rFonts w:asciiTheme="minorHAnsi" w:hAnsiTheme="minorHAnsi" w:cstheme="minorHAnsi"/>
                <w:iCs/>
                <w:color w:val="000000"/>
                <w:sz w:val="22"/>
                <w:szCs w:val="22"/>
              </w:rPr>
              <w:t xml:space="preserve"> include 10,225 people killed and 24,541 injured.</w:t>
            </w:r>
            <w:r w:rsidR="00836247">
              <w:rPr>
                <w:rFonts w:asciiTheme="minorHAnsi" w:hAnsiTheme="minorHAnsi" w:cstheme="minorHAnsi"/>
                <w:iCs/>
                <w:color w:val="000000"/>
                <w:sz w:val="22"/>
                <w:szCs w:val="22"/>
              </w:rPr>
              <w:t xml:space="preserve"> </w:t>
            </w:r>
            <w:r w:rsidRPr="00347612">
              <w:rPr>
                <w:rFonts w:asciiTheme="minorHAnsi" w:hAnsiTheme="minorHAnsi" w:cstheme="minorHAnsi"/>
                <w:iCs/>
                <w:color w:val="000000"/>
                <w:sz w:val="22"/>
                <w:szCs w:val="22"/>
              </w:rPr>
              <w:t>UNDP’s research show</w:t>
            </w:r>
            <w:r w:rsidR="007647E2">
              <w:rPr>
                <w:rFonts w:asciiTheme="minorHAnsi" w:hAnsiTheme="minorHAnsi" w:cstheme="minorHAnsi"/>
                <w:iCs/>
                <w:color w:val="000000"/>
                <w:sz w:val="22"/>
                <w:szCs w:val="22"/>
              </w:rPr>
              <w:t>s</w:t>
            </w:r>
            <w:r w:rsidRPr="00347612">
              <w:rPr>
                <w:rFonts w:asciiTheme="minorHAnsi" w:hAnsiTheme="minorHAnsi" w:cstheme="minorHAnsi"/>
                <w:iCs/>
                <w:color w:val="000000"/>
                <w:sz w:val="22"/>
                <w:szCs w:val="22"/>
              </w:rPr>
              <w:t xml:space="preserve"> that vulnerable and marginalized groups, such as </w:t>
            </w:r>
            <w:r w:rsidR="000479B5">
              <w:rPr>
                <w:rFonts w:asciiTheme="minorHAnsi" w:hAnsiTheme="minorHAnsi" w:cstheme="minorHAnsi"/>
                <w:iCs/>
                <w:color w:val="000000"/>
                <w:sz w:val="22"/>
                <w:szCs w:val="22"/>
              </w:rPr>
              <w:t>people living with HIV,</w:t>
            </w:r>
            <w:r w:rsidRPr="00347612">
              <w:rPr>
                <w:rFonts w:asciiTheme="minorHAnsi" w:hAnsiTheme="minorHAnsi" w:cstheme="minorHAnsi"/>
                <w:iCs/>
                <w:color w:val="000000"/>
                <w:sz w:val="22"/>
                <w:szCs w:val="22"/>
              </w:rPr>
              <w:t xml:space="preserve"> and drug users continue to be subject to significant abuses from various state institutions, and that strengthening support to those groups should be prioritized in future programming. Gender based violence (GBV) is one of the most widespread forms of human rights abuse especially in those population segments most affected by conflict.</w:t>
            </w:r>
          </w:p>
          <w:p w14:paraId="26541A89" w14:textId="77777777" w:rsidR="001A2049" w:rsidRPr="00347612" w:rsidRDefault="001A2049" w:rsidP="001A2049">
            <w:pPr>
              <w:jc w:val="both"/>
              <w:rPr>
                <w:rFonts w:asciiTheme="minorHAnsi" w:hAnsiTheme="minorHAnsi" w:cstheme="minorHAnsi"/>
                <w:iCs/>
                <w:color w:val="000000"/>
                <w:sz w:val="22"/>
                <w:szCs w:val="22"/>
              </w:rPr>
            </w:pPr>
          </w:p>
          <w:p w14:paraId="038AC35A" w14:textId="530DCEDE" w:rsidR="001A2049" w:rsidRPr="00347612" w:rsidRDefault="001A2049" w:rsidP="001A2049">
            <w:pPr>
              <w:jc w:val="both"/>
              <w:rPr>
                <w:rFonts w:asciiTheme="minorHAnsi" w:hAnsiTheme="minorHAnsi" w:cstheme="minorHAnsi"/>
                <w:iCs/>
                <w:color w:val="000000"/>
                <w:sz w:val="22"/>
                <w:szCs w:val="22"/>
              </w:rPr>
            </w:pPr>
            <w:r w:rsidRPr="00347612">
              <w:rPr>
                <w:rFonts w:asciiTheme="minorHAnsi" w:hAnsiTheme="minorHAnsi" w:cstheme="minorHAnsi"/>
                <w:iCs/>
                <w:color w:val="000000"/>
                <w:sz w:val="22"/>
                <w:szCs w:val="22"/>
              </w:rPr>
              <w:t xml:space="preserve">The human rights situation in the non-government controlled areas – </w:t>
            </w:r>
            <w:r w:rsidR="008D3F22">
              <w:rPr>
                <w:rFonts w:asciiTheme="minorHAnsi" w:hAnsiTheme="minorHAnsi" w:cstheme="minorHAnsi"/>
                <w:iCs/>
                <w:color w:val="000000"/>
                <w:sz w:val="22"/>
                <w:szCs w:val="22"/>
              </w:rPr>
              <w:t xml:space="preserve">separate </w:t>
            </w:r>
            <w:r w:rsidR="00AB6ED8">
              <w:rPr>
                <w:rFonts w:asciiTheme="minorHAnsi" w:hAnsiTheme="minorHAnsi" w:cstheme="minorHAnsi"/>
                <w:iCs/>
                <w:color w:val="000000"/>
                <w:sz w:val="22"/>
                <w:szCs w:val="22"/>
              </w:rPr>
              <w:t xml:space="preserve">districts </w:t>
            </w:r>
            <w:r w:rsidR="008D3F22">
              <w:rPr>
                <w:rFonts w:asciiTheme="minorHAnsi" w:hAnsiTheme="minorHAnsi" w:cstheme="minorHAnsi"/>
                <w:iCs/>
                <w:color w:val="000000"/>
                <w:sz w:val="22"/>
                <w:szCs w:val="22"/>
              </w:rPr>
              <w:t>of Donetsk and Luhansk oblasts</w:t>
            </w:r>
            <w:r w:rsidRPr="00347612">
              <w:rPr>
                <w:rFonts w:asciiTheme="minorHAnsi" w:hAnsiTheme="minorHAnsi" w:cstheme="minorHAnsi"/>
                <w:iCs/>
                <w:color w:val="000000"/>
                <w:sz w:val="22"/>
                <w:szCs w:val="22"/>
              </w:rPr>
              <w:t xml:space="preserve"> - ha</w:t>
            </w:r>
            <w:r w:rsidR="000479B5">
              <w:rPr>
                <w:rFonts w:asciiTheme="minorHAnsi" w:hAnsiTheme="minorHAnsi" w:cstheme="minorHAnsi"/>
                <w:iCs/>
                <w:color w:val="000000"/>
                <w:sz w:val="22"/>
                <w:szCs w:val="22"/>
              </w:rPr>
              <w:t>ve</w:t>
            </w:r>
            <w:r w:rsidRPr="00347612">
              <w:rPr>
                <w:rFonts w:asciiTheme="minorHAnsi" w:hAnsiTheme="minorHAnsi" w:cstheme="minorHAnsi"/>
                <w:iCs/>
                <w:color w:val="000000"/>
                <w:sz w:val="22"/>
                <w:szCs w:val="22"/>
              </w:rPr>
              <w:t xml:space="preserve"> been marked by continuing restrictions on fundamental freedoms, exacerbating the isolation of persons living in these regions and their access to information. A higher number of civilian casualties ha</w:t>
            </w:r>
            <w:r w:rsidR="000479B5">
              <w:rPr>
                <w:rFonts w:asciiTheme="minorHAnsi" w:hAnsiTheme="minorHAnsi" w:cstheme="minorHAnsi"/>
                <w:iCs/>
                <w:color w:val="000000"/>
                <w:sz w:val="22"/>
                <w:szCs w:val="22"/>
              </w:rPr>
              <w:t>ve</w:t>
            </w:r>
            <w:r w:rsidRPr="00347612">
              <w:rPr>
                <w:rFonts w:asciiTheme="minorHAnsi" w:hAnsiTheme="minorHAnsi" w:cstheme="minorHAnsi"/>
                <w:iCs/>
                <w:color w:val="000000"/>
                <w:sz w:val="22"/>
                <w:szCs w:val="22"/>
              </w:rPr>
              <w:t xml:space="preserve"> been reported in armed group-controlled territories than in Government-controlled areas of the conflict zone. In the temporarily occupied territory of Crimea, OHCHR documented several cases of abuses in detention and ongoing sanctions against members of the Mejlis. The continued prosecution of Crimean Hizb-ut-Tahrir members in Russian courts, and transfer of detainees from Crimea to penitentiary facilities in the Russian Federation raise serious concerns. </w:t>
            </w:r>
          </w:p>
          <w:p w14:paraId="7D751567" w14:textId="77777777" w:rsidR="001A2049" w:rsidRPr="00347612" w:rsidRDefault="001A2049" w:rsidP="001A2049">
            <w:pPr>
              <w:jc w:val="both"/>
              <w:rPr>
                <w:rFonts w:asciiTheme="minorHAnsi" w:hAnsiTheme="minorHAnsi" w:cstheme="minorHAnsi"/>
                <w:iCs/>
                <w:color w:val="000000"/>
                <w:sz w:val="22"/>
                <w:szCs w:val="22"/>
              </w:rPr>
            </w:pPr>
          </w:p>
          <w:p w14:paraId="26CF7E00" w14:textId="53C605F2" w:rsidR="001A2049" w:rsidRDefault="001A2049" w:rsidP="00836247">
            <w:pPr>
              <w:jc w:val="both"/>
              <w:rPr>
                <w:rFonts w:asciiTheme="minorHAnsi" w:hAnsiTheme="minorHAnsi" w:cstheme="minorHAnsi"/>
                <w:iCs/>
                <w:color w:val="000000"/>
                <w:sz w:val="22"/>
                <w:szCs w:val="22"/>
              </w:rPr>
            </w:pPr>
            <w:r w:rsidRPr="00347612">
              <w:rPr>
                <w:rFonts w:asciiTheme="minorHAnsi" w:hAnsiTheme="minorHAnsi" w:cstheme="minorHAnsi"/>
                <w:iCs/>
                <w:color w:val="000000"/>
                <w:sz w:val="22"/>
                <w:szCs w:val="22"/>
              </w:rPr>
              <w:t>The Global Gender Gap Index of Ukraine has deteriorated in 2016, shifting to 69th ranking out of 144 countries. Gender equality and women’s rights as well as the new challenges brought by the conflict have not yet become a priority under the Government’s comprehensive reform agenda. There are underpinned gaps in legislation, low capacity of law-enforcement bodies and limited forensic services.  However, the ongoing reform agenda do not focus on human rights despite the recommendations that were made by UN human rights mechanisms and the fact that rights were a significant factor of concern underlying the ‘Revolution of Dignity’.</w:t>
            </w:r>
          </w:p>
          <w:p w14:paraId="59812E8C" w14:textId="3342DAC5" w:rsidR="0041770E" w:rsidRPr="00347612" w:rsidRDefault="0041770E" w:rsidP="00836247">
            <w:pPr>
              <w:jc w:val="both"/>
              <w:rPr>
                <w:rFonts w:asciiTheme="minorHAnsi" w:hAnsiTheme="minorHAnsi" w:cstheme="minorHAnsi"/>
                <w:iCs/>
                <w:color w:val="000000"/>
                <w:sz w:val="22"/>
                <w:szCs w:val="22"/>
              </w:rPr>
            </w:pPr>
          </w:p>
        </w:tc>
      </w:tr>
      <w:tr w:rsidR="001A2049" w:rsidRPr="001A22D3" w14:paraId="5613650B" w14:textId="77777777" w:rsidTr="00F65FC5">
        <w:tblPrEx>
          <w:tblBorders>
            <w:insideH w:val="single" w:sz="4" w:space="0" w:color="auto"/>
            <w:insideV w:val="single" w:sz="4" w:space="0" w:color="auto"/>
          </w:tblBorders>
        </w:tblPrEx>
        <w:trPr>
          <w:gridAfter w:val="2"/>
          <w:wAfter w:w="23" w:type="dxa"/>
          <w:trHeight w:val="789"/>
        </w:trPr>
        <w:tc>
          <w:tcPr>
            <w:tcW w:w="2875" w:type="dxa"/>
          </w:tcPr>
          <w:p w14:paraId="5A39091F" w14:textId="77777777" w:rsidR="001A2049" w:rsidRPr="001A22D3" w:rsidRDefault="001A2049" w:rsidP="001A2049">
            <w:pPr>
              <w:pStyle w:val="FootnoteText"/>
              <w:widowControl w:val="0"/>
              <w:rPr>
                <w:rFonts w:asciiTheme="minorHAnsi" w:hAnsiTheme="minorHAnsi" w:cs="Arial"/>
                <w:i/>
                <w:sz w:val="22"/>
                <w:szCs w:val="22"/>
                <w:lang w:val="en-GB"/>
              </w:rPr>
            </w:pPr>
            <w:r w:rsidRPr="001A22D3">
              <w:rPr>
                <w:rFonts w:asciiTheme="minorHAnsi" w:hAnsiTheme="minorHAnsi" w:cs="Arial"/>
                <w:i/>
                <w:sz w:val="22"/>
                <w:szCs w:val="22"/>
                <w:lang w:val="en-GB"/>
              </w:rPr>
              <w:lastRenderedPageBreak/>
              <w:t>Critical assumptions and risks (select the most relevant from programme document)</w:t>
            </w:r>
          </w:p>
        </w:tc>
        <w:tc>
          <w:tcPr>
            <w:tcW w:w="3510" w:type="dxa"/>
          </w:tcPr>
          <w:p w14:paraId="591FBE25" w14:textId="77777777" w:rsidR="001A2049" w:rsidRPr="001A22D3" w:rsidRDefault="001A2049" w:rsidP="001A2049">
            <w:pPr>
              <w:pStyle w:val="FootnoteText"/>
              <w:widowControl w:val="0"/>
              <w:rPr>
                <w:rFonts w:asciiTheme="minorHAnsi" w:hAnsiTheme="minorHAnsi" w:cs="Arial"/>
                <w:i/>
                <w:sz w:val="22"/>
                <w:szCs w:val="22"/>
                <w:lang w:val="en-GB"/>
              </w:rPr>
            </w:pPr>
            <w:r w:rsidRPr="001A22D3">
              <w:rPr>
                <w:rFonts w:asciiTheme="minorHAnsi" w:hAnsiTheme="minorHAnsi" w:cs="Arial"/>
                <w:i/>
                <w:sz w:val="22"/>
                <w:szCs w:val="22"/>
                <w:lang w:val="en-GB"/>
              </w:rPr>
              <w:t>Assessment of the situation in the context</w:t>
            </w:r>
          </w:p>
        </w:tc>
        <w:tc>
          <w:tcPr>
            <w:tcW w:w="3757" w:type="dxa"/>
            <w:gridSpan w:val="2"/>
          </w:tcPr>
          <w:p w14:paraId="31CE655D" w14:textId="77777777" w:rsidR="001A2049" w:rsidRPr="001A22D3" w:rsidRDefault="001A2049" w:rsidP="001A2049">
            <w:pPr>
              <w:pStyle w:val="FootnoteText"/>
              <w:widowControl w:val="0"/>
              <w:jc w:val="both"/>
              <w:rPr>
                <w:rFonts w:asciiTheme="minorHAnsi" w:hAnsiTheme="minorHAnsi" w:cs="Arial"/>
                <w:i/>
                <w:sz w:val="22"/>
                <w:szCs w:val="22"/>
                <w:lang w:val="en-GB"/>
              </w:rPr>
            </w:pPr>
            <w:r w:rsidRPr="001A22D3">
              <w:rPr>
                <w:rFonts w:asciiTheme="minorHAnsi" w:hAnsiTheme="minorHAnsi" w:cs="Arial"/>
                <w:i/>
                <w:sz w:val="22"/>
                <w:szCs w:val="22"/>
                <w:lang w:val="en-GB"/>
              </w:rPr>
              <w:t xml:space="preserve">Assessment of the effect on the project’s implementation and description of any counteractive measures. </w:t>
            </w:r>
          </w:p>
        </w:tc>
      </w:tr>
      <w:tr w:rsidR="001A2049" w:rsidRPr="001A22D3" w14:paraId="52A2CC4A" w14:textId="77777777" w:rsidTr="00F65FC5">
        <w:tblPrEx>
          <w:tblBorders>
            <w:insideH w:val="single" w:sz="4" w:space="0" w:color="auto"/>
            <w:insideV w:val="single" w:sz="4" w:space="0" w:color="auto"/>
          </w:tblBorders>
        </w:tblPrEx>
        <w:trPr>
          <w:gridAfter w:val="2"/>
          <w:wAfter w:w="23" w:type="dxa"/>
          <w:trHeight w:val="258"/>
        </w:trPr>
        <w:tc>
          <w:tcPr>
            <w:tcW w:w="2875" w:type="dxa"/>
          </w:tcPr>
          <w:p w14:paraId="4118430B" w14:textId="77777777" w:rsidR="001A2049" w:rsidRPr="001A22D3" w:rsidRDefault="001A2049" w:rsidP="001A2049">
            <w:pPr>
              <w:pStyle w:val="ListParagraph"/>
              <w:ind w:left="0"/>
              <w:rPr>
                <w:rFonts w:asciiTheme="minorHAnsi" w:hAnsiTheme="minorHAnsi" w:cs="Arial"/>
                <w:sz w:val="22"/>
                <w:szCs w:val="22"/>
              </w:rPr>
            </w:pPr>
            <w:r w:rsidRPr="001A22D3">
              <w:rPr>
                <w:rFonts w:asciiTheme="minorHAnsi" w:hAnsiTheme="minorHAnsi" w:cstheme="minorHAnsi"/>
                <w:b/>
                <w:i/>
                <w:sz w:val="22"/>
                <w:szCs w:val="22"/>
              </w:rPr>
              <w:t>Risk</w:t>
            </w:r>
            <w:r w:rsidRPr="001A22D3">
              <w:rPr>
                <w:rFonts w:asciiTheme="minorHAnsi" w:hAnsiTheme="minorHAnsi" w:cstheme="minorHAnsi"/>
                <w:sz w:val="22"/>
                <w:szCs w:val="22"/>
              </w:rPr>
              <w:t>: Economic stringency, further banking sector volatility and bankruptcies</w:t>
            </w:r>
          </w:p>
        </w:tc>
        <w:tc>
          <w:tcPr>
            <w:tcW w:w="3510" w:type="dxa"/>
          </w:tcPr>
          <w:p w14:paraId="55011D3A" w14:textId="6EDEF2F2" w:rsidR="001A2049" w:rsidRPr="001A22D3" w:rsidRDefault="0057746B" w:rsidP="001A2049">
            <w:pPr>
              <w:pStyle w:val="FootnoteText"/>
              <w:rPr>
                <w:rFonts w:asciiTheme="minorHAnsi" w:hAnsiTheme="minorHAnsi" w:cstheme="minorHAnsi"/>
                <w:sz w:val="22"/>
                <w:szCs w:val="22"/>
                <w:lang w:val="en-GB"/>
              </w:rPr>
            </w:pPr>
            <w:r>
              <w:rPr>
                <w:rFonts w:asciiTheme="minorHAnsi" w:hAnsiTheme="minorHAnsi" w:cs="Arial"/>
                <w:sz w:val="22"/>
                <w:szCs w:val="22"/>
              </w:rPr>
              <w:t xml:space="preserve">5 CSOs (2 direct UNDP grantees and 3 sub-grantees) were affected by the </w:t>
            </w:r>
            <w:r w:rsidR="001A2049">
              <w:rPr>
                <w:rFonts w:asciiTheme="minorHAnsi" w:hAnsiTheme="minorHAnsi" w:cs="Arial"/>
                <w:sz w:val="22"/>
                <w:szCs w:val="22"/>
              </w:rPr>
              <w:t>banking sector</w:t>
            </w:r>
            <w:r w:rsidR="00CD3A49">
              <w:rPr>
                <w:rFonts w:asciiTheme="minorHAnsi" w:hAnsiTheme="minorHAnsi" w:cs="Arial"/>
                <w:sz w:val="22"/>
                <w:szCs w:val="22"/>
              </w:rPr>
              <w:t>, and due to</w:t>
            </w:r>
            <w:r w:rsidR="001A2049">
              <w:rPr>
                <w:rFonts w:asciiTheme="minorHAnsi" w:hAnsiTheme="minorHAnsi" w:cs="Arial"/>
                <w:sz w:val="22"/>
                <w:szCs w:val="22"/>
              </w:rPr>
              <w:t xml:space="preserve"> instability and bankruptcy of some of the major commercial bank</w:t>
            </w:r>
            <w:r w:rsidR="00CD3A49">
              <w:rPr>
                <w:rFonts w:asciiTheme="minorHAnsi" w:hAnsiTheme="minorHAnsi" w:cs="Arial"/>
                <w:sz w:val="22"/>
                <w:szCs w:val="22"/>
              </w:rPr>
              <w:t>s</w:t>
            </w:r>
            <w:r>
              <w:rPr>
                <w:rFonts w:asciiTheme="minorHAnsi" w:hAnsiTheme="minorHAnsi" w:cs="Arial"/>
                <w:sz w:val="22"/>
                <w:szCs w:val="22"/>
              </w:rPr>
              <w:t xml:space="preserve"> and </w:t>
            </w:r>
            <w:r w:rsidR="00CD3A49">
              <w:rPr>
                <w:rFonts w:asciiTheme="minorHAnsi" w:hAnsiTheme="minorHAnsi" w:cs="Arial"/>
                <w:sz w:val="22"/>
                <w:szCs w:val="22"/>
              </w:rPr>
              <w:t xml:space="preserve">CSO </w:t>
            </w:r>
            <w:r>
              <w:rPr>
                <w:rFonts w:asciiTheme="minorHAnsi" w:hAnsiTheme="minorHAnsi" w:cs="Arial"/>
                <w:sz w:val="22"/>
                <w:szCs w:val="22"/>
              </w:rPr>
              <w:t>funds were frozen for</w:t>
            </w:r>
            <w:r w:rsidR="001A2049" w:rsidRPr="0057746B">
              <w:rPr>
                <w:rFonts w:asciiTheme="minorHAnsi" w:hAnsiTheme="minorHAnsi" w:cs="Arial"/>
                <w:sz w:val="22"/>
                <w:szCs w:val="22"/>
              </w:rPr>
              <w:t xml:space="preserve"> the overall amount USD </w:t>
            </w:r>
            <w:r w:rsidRPr="0057746B">
              <w:rPr>
                <w:rFonts w:asciiTheme="minorHAnsi" w:hAnsiTheme="minorHAnsi" w:cs="Arial"/>
                <w:sz w:val="22"/>
                <w:szCs w:val="22"/>
              </w:rPr>
              <w:t>23,644.56</w:t>
            </w:r>
            <w:r w:rsidR="001A2049" w:rsidRPr="0057746B">
              <w:rPr>
                <w:rFonts w:asciiTheme="minorHAnsi" w:hAnsiTheme="minorHAnsi" w:cs="Arial"/>
                <w:sz w:val="22"/>
                <w:szCs w:val="22"/>
              </w:rPr>
              <w:t>.</w:t>
            </w:r>
          </w:p>
          <w:p w14:paraId="18616655" w14:textId="28DAC691" w:rsidR="001A2049" w:rsidRPr="001A22D3" w:rsidRDefault="001A2049" w:rsidP="001A2049">
            <w:pPr>
              <w:rPr>
                <w:rFonts w:asciiTheme="minorHAnsi" w:hAnsiTheme="minorHAnsi" w:cs="Arial"/>
                <w:sz w:val="22"/>
                <w:szCs w:val="22"/>
              </w:rPr>
            </w:pPr>
          </w:p>
        </w:tc>
        <w:tc>
          <w:tcPr>
            <w:tcW w:w="3757" w:type="dxa"/>
            <w:gridSpan w:val="2"/>
          </w:tcPr>
          <w:p w14:paraId="6B9F810D" w14:textId="77777777" w:rsidR="001A2049" w:rsidRPr="001A22D3" w:rsidRDefault="001A2049" w:rsidP="001A2049">
            <w:pPr>
              <w:rPr>
                <w:rFonts w:asciiTheme="minorHAnsi" w:hAnsiTheme="minorHAnsi" w:cstheme="minorHAnsi"/>
                <w:b/>
                <w:i/>
                <w:sz w:val="22"/>
                <w:szCs w:val="22"/>
              </w:rPr>
            </w:pPr>
            <w:r w:rsidRPr="001A22D3">
              <w:rPr>
                <w:rFonts w:asciiTheme="minorHAnsi" w:hAnsiTheme="minorHAnsi" w:cstheme="minorHAnsi"/>
                <w:b/>
                <w:i/>
                <w:sz w:val="22"/>
                <w:szCs w:val="22"/>
              </w:rPr>
              <w:t>Effect on implementation (1 – low, 5 - high):</w:t>
            </w:r>
          </w:p>
          <w:p w14:paraId="6126B613" w14:textId="77777777" w:rsidR="001A2049" w:rsidRPr="001A22D3" w:rsidRDefault="001A2049" w:rsidP="001A2049">
            <w:pPr>
              <w:rPr>
                <w:rFonts w:asciiTheme="minorHAnsi" w:hAnsiTheme="minorHAnsi" w:cstheme="minorHAnsi"/>
                <w:sz w:val="22"/>
                <w:szCs w:val="22"/>
              </w:rPr>
            </w:pPr>
            <w:r w:rsidRPr="001A22D3">
              <w:rPr>
                <w:rFonts w:asciiTheme="minorHAnsi" w:hAnsiTheme="minorHAnsi" w:cstheme="minorHAnsi"/>
                <w:sz w:val="22"/>
                <w:szCs w:val="22"/>
              </w:rPr>
              <w:t>Impact = 2; Probability = 3</w:t>
            </w:r>
          </w:p>
          <w:p w14:paraId="2523D58A" w14:textId="77777777" w:rsidR="001A2049" w:rsidRPr="001A22D3" w:rsidRDefault="001A2049" w:rsidP="001A2049">
            <w:pPr>
              <w:rPr>
                <w:rFonts w:asciiTheme="minorHAnsi" w:hAnsiTheme="minorHAnsi" w:cstheme="minorHAnsi"/>
                <w:b/>
                <w:i/>
                <w:sz w:val="22"/>
                <w:szCs w:val="22"/>
              </w:rPr>
            </w:pPr>
            <w:r w:rsidRPr="001A22D3">
              <w:rPr>
                <w:rFonts w:asciiTheme="minorHAnsi" w:hAnsiTheme="minorHAnsi" w:cstheme="minorHAnsi"/>
                <w:b/>
                <w:i/>
                <w:sz w:val="22"/>
                <w:szCs w:val="22"/>
              </w:rPr>
              <w:t>Counteractive measures:</w:t>
            </w:r>
          </w:p>
          <w:p w14:paraId="756C310E" w14:textId="7A1B2C8A" w:rsidR="001A2049" w:rsidRPr="00F65FC5" w:rsidRDefault="000873AA" w:rsidP="00F65FC5">
            <w:pPr>
              <w:pStyle w:val="FootnoteText"/>
              <w:widowControl w:val="0"/>
              <w:rPr>
                <w:rFonts w:asciiTheme="minorHAnsi" w:hAnsiTheme="minorHAnsi" w:cstheme="minorHAnsi"/>
                <w:sz w:val="22"/>
                <w:szCs w:val="22"/>
                <w:lang w:val="en-GB"/>
              </w:rPr>
            </w:pPr>
            <w:r>
              <w:rPr>
                <w:rFonts w:asciiTheme="minorHAnsi" w:hAnsiTheme="minorHAnsi" w:cstheme="minorHAnsi"/>
                <w:sz w:val="22"/>
                <w:szCs w:val="22"/>
                <w:lang w:val="en-GB"/>
              </w:rPr>
              <w:t xml:space="preserve">All CSO grantees addressed temporary administrations of their banks with the request of funds retrieval. UNDP also addressed </w:t>
            </w:r>
            <w:r w:rsidRPr="00F65FC5">
              <w:rPr>
                <w:rFonts w:asciiTheme="minorHAnsi" w:hAnsiTheme="minorHAnsi" w:cstheme="minorHAnsi"/>
                <w:sz w:val="22"/>
                <w:szCs w:val="22"/>
                <w:lang w:val="en-GB"/>
              </w:rPr>
              <w:t xml:space="preserve">the Ministry of Foreign Affairs in Ukraine but received </w:t>
            </w:r>
            <w:r w:rsidR="00CD3A49">
              <w:rPr>
                <w:rFonts w:asciiTheme="minorHAnsi" w:hAnsiTheme="minorHAnsi" w:cstheme="minorHAnsi"/>
                <w:sz w:val="22"/>
                <w:szCs w:val="22"/>
                <w:lang w:val="en-GB"/>
              </w:rPr>
              <w:t>a</w:t>
            </w:r>
            <w:r w:rsidRPr="00F65FC5">
              <w:rPr>
                <w:rFonts w:asciiTheme="minorHAnsi" w:hAnsiTheme="minorHAnsi" w:cstheme="minorHAnsi"/>
                <w:sz w:val="22"/>
                <w:szCs w:val="22"/>
                <w:lang w:val="en-GB"/>
              </w:rPr>
              <w:t xml:space="preserve"> response that </w:t>
            </w:r>
            <w:r w:rsidR="00CD3A49">
              <w:rPr>
                <w:rFonts w:asciiTheme="minorHAnsi" w:hAnsiTheme="minorHAnsi" w:cstheme="minorHAnsi"/>
                <w:sz w:val="22"/>
                <w:szCs w:val="22"/>
                <w:lang w:val="en-GB"/>
              </w:rPr>
              <w:t xml:space="preserve">the </w:t>
            </w:r>
            <w:r w:rsidRPr="00F65FC5">
              <w:rPr>
                <w:rFonts w:asciiTheme="minorHAnsi" w:hAnsiTheme="minorHAnsi" w:cstheme="minorHAnsi"/>
                <w:sz w:val="22"/>
                <w:szCs w:val="22"/>
                <w:lang w:val="en-GB"/>
              </w:rPr>
              <w:t>retrieval of funds would be conducted ONLY following the official procedure as per Ukrainian legislation which has not resulted in unblocking any funds so far.</w:t>
            </w:r>
            <w:r w:rsidR="00F65FC5">
              <w:rPr>
                <w:rFonts w:asciiTheme="minorHAnsi" w:hAnsiTheme="minorHAnsi" w:cstheme="minorHAnsi"/>
                <w:sz w:val="22"/>
                <w:szCs w:val="22"/>
                <w:lang w:val="en-GB"/>
              </w:rPr>
              <w:t xml:space="preserve"> UNDP verification mission was conducted to all affected CSOs in August 2017 to collect documents for the mentioned cases (separate communication is available on these cases). </w:t>
            </w:r>
          </w:p>
        </w:tc>
      </w:tr>
      <w:tr w:rsidR="001A2049" w:rsidRPr="001A22D3" w14:paraId="589A8D1E" w14:textId="77777777" w:rsidTr="00F65FC5">
        <w:tblPrEx>
          <w:tblBorders>
            <w:insideH w:val="single" w:sz="4" w:space="0" w:color="auto"/>
            <w:insideV w:val="single" w:sz="4" w:space="0" w:color="auto"/>
          </w:tblBorders>
        </w:tblPrEx>
        <w:trPr>
          <w:gridAfter w:val="2"/>
          <w:wAfter w:w="23" w:type="dxa"/>
          <w:trHeight w:val="274"/>
        </w:trPr>
        <w:tc>
          <w:tcPr>
            <w:tcW w:w="2875" w:type="dxa"/>
          </w:tcPr>
          <w:p w14:paraId="4A84036E" w14:textId="77777777" w:rsidR="001A2049" w:rsidRPr="001A22D3" w:rsidRDefault="001A2049" w:rsidP="001A2049">
            <w:pPr>
              <w:pStyle w:val="NormalWeb"/>
              <w:shd w:val="clear" w:color="auto" w:fill="FFFFFF"/>
              <w:spacing w:before="0" w:beforeAutospacing="0" w:after="0" w:afterAutospacing="0"/>
              <w:rPr>
                <w:rFonts w:asciiTheme="minorHAnsi" w:hAnsiTheme="minorHAnsi" w:cs="Arial"/>
                <w:sz w:val="22"/>
                <w:szCs w:val="22"/>
                <w:lang w:val="en-GB"/>
              </w:rPr>
            </w:pPr>
            <w:r w:rsidRPr="001A22D3">
              <w:rPr>
                <w:rFonts w:asciiTheme="minorHAnsi" w:hAnsiTheme="minorHAnsi" w:cstheme="minorHAnsi"/>
                <w:b/>
                <w:i/>
                <w:sz w:val="22"/>
                <w:szCs w:val="22"/>
                <w:lang w:val="en-GB"/>
              </w:rPr>
              <w:t>Risk</w:t>
            </w:r>
            <w:r w:rsidRPr="001A22D3">
              <w:rPr>
                <w:rFonts w:asciiTheme="minorHAnsi" w:hAnsiTheme="minorHAnsi" w:cstheme="minorHAnsi"/>
                <w:sz w:val="22"/>
                <w:szCs w:val="22"/>
                <w:lang w:val="en-GB"/>
              </w:rPr>
              <w:t>: Continued crisis in the east undermines stability</w:t>
            </w:r>
          </w:p>
        </w:tc>
        <w:tc>
          <w:tcPr>
            <w:tcW w:w="3510" w:type="dxa"/>
          </w:tcPr>
          <w:p w14:paraId="458476EA" w14:textId="77777777" w:rsidR="001A2049" w:rsidRPr="001A22D3" w:rsidRDefault="001A2049" w:rsidP="001A2049">
            <w:pPr>
              <w:pStyle w:val="FootnoteText"/>
              <w:rPr>
                <w:rFonts w:asciiTheme="minorHAnsi" w:hAnsiTheme="minorHAnsi" w:cs="Arial"/>
                <w:sz w:val="22"/>
                <w:szCs w:val="22"/>
                <w:lang w:val="en-GB"/>
              </w:rPr>
            </w:pPr>
            <w:r w:rsidRPr="001A22D3">
              <w:rPr>
                <w:rFonts w:asciiTheme="minorHAnsi" w:hAnsiTheme="minorHAnsi" w:cstheme="minorHAnsi"/>
                <w:sz w:val="22"/>
                <w:szCs w:val="22"/>
                <w:lang w:val="en-GB"/>
              </w:rPr>
              <w:t xml:space="preserve">The situation in the east of the country remains volatile with, currently, no indication that it could be solved fast or, at least, in the foreseeable future. </w:t>
            </w:r>
          </w:p>
        </w:tc>
        <w:tc>
          <w:tcPr>
            <w:tcW w:w="3757" w:type="dxa"/>
            <w:gridSpan w:val="2"/>
          </w:tcPr>
          <w:p w14:paraId="05D2D4B0" w14:textId="77777777" w:rsidR="001A2049" w:rsidRPr="001A22D3" w:rsidRDefault="001A2049" w:rsidP="001A2049">
            <w:pPr>
              <w:rPr>
                <w:rFonts w:asciiTheme="minorHAnsi" w:hAnsiTheme="minorHAnsi" w:cstheme="minorHAnsi"/>
                <w:b/>
                <w:i/>
                <w:sz w:val="22"/>
                <w:szCs w:val="22"/>
              </w:rPr>
            </w:pPr>
            <w:r w:rsidRPr="001A22D3">
              <w:rPr>
                <w:rFonts w:asciiTheme="minorHAnsi" w:hAnsiTheme="minorHAnsi" w:cstheme="minorHAnsi"/>
                <w:b/>
                <w:i/>
                <w:sz w:val="22"/>
                <w:szCs w:val="22"/>
              </w:rPr>
              <w:t>Effect on implementation (1 – low, 5 - high):</w:t>
            </w:r>
          </w:p>
          <w:p w14:paraId="04362A13" w14:textId="77777777" w:rsidR="001A2049" w:rsidRPr="001A22D3" w:rsidRDefault="001A2049" w:rsidP="001A2049">
            <w:pPr>
              <w:rPr>
                <w:rFonts w:asciiTheme="minorHAnsi" w:hAnsiTheme="minorHAnsi" w:cstheme="minorHAnsi"/>
                <w:sz w:val="22"/>
                <w:szCs w:val="22"/>
              </w:rPr>
            </w:pPr>
            <w:r w:rsidRPr="001A22D3">
              <w:rPr>
                <w:rFonts w:asciiTheme="minorHAnsi" w:hAnsiTheme="minorHAnsi" w:cstheme="minorHAnsi"/>
                <w:sz w:val="22"/>
                <w:szCs w:val="22"/>
              </w:rPr>
              <w:t>Impact = 4; Probability = 5</w:t>
            </w:r>
          </w:p>
          <w:p w14:paraId="2CF8CEFB" w14:textId="77777777" w:rsidR="001A2049" w:rsidRPr="001A22D3" w:rsidRDefault="001A2049" w:rsidP="001A2049">
            <w:pPr>
              <w:rPr>
                <w:rFonts w:asciiTheme="minorHAnsi" w:hAnsiTheme="minorHAnsi" w:cstheme="minorHAnsi"/>
                <w:b/>
                <w:i/>
                <w:sz w:val="22"/>
                <w:szCs w:val="22"/>
              </w:rPr>
            </w:pPr>
            <w:r w:rsidRPr="001A22D3">
              <w:rPr>
                <w:rFonts w:asciiTheme="minorHAnsi" w:hAnsiTheme="minorHAnsi" w:cstheme="minorHAnsi"/>
                <w:b/>
                <w:i/>
                <w:sz w:val="22"/>
                <w:szCs w:val="22"/>
              </w:rPr>
              <w:t>Counteractive measures:</w:t>
            </w:r>
          </w:p>
          <w:p w14:paraId="60292FE0" w14:textId="38D8F88B" w:rsidR="001A2049" w:rsidRPr="001A22D3" w:rsidRDefault="001A2049" w:rsidP="001A2049">
            <w:pPr>
              <w:pStyle w:val="FootnoteText"/>
              <w:widowControl w:val="0"/>
              <w:rPr>
                <w:rFonts w:asciiTheme="minorHAnsi" w:hAnsiTheme="minorHAnsi" w:cstheme="minorHAnsi"/>
                <w:sz w:val="22"/>
                <w:szCs w:val="22"/>
                <w:lang w:val="en-GB"/>
              </w:rPr>
            </w:pPr>
            <w:r w:rsidRPr="001A22D3">
              <w:rPr>
                <w:rFonts w:asciiTheme="minorHAnsi" w:hAnsiTheme="minorHAnsi" w:cstheme="minorHAnsi"/>
                <w:sz w:val="22"/>
                <w:szCs w:val="22"/>
                <w:lang w:val="en-GB"/>
              </w:rPr>
              <w:t>DHRP has responded to the continued crisis in the east and ongoing CSO re-adaptation processes with flexibility and required support, where necessary. No CSOs on the temporarily occupied territories are given support, and the project works only with those actors that are located on the government-controlled territories. The Donetsk Hub has fully relocated to Kyiv and has a field office in Kramatorsk</w:t>
            </w:r>
            <w:r w:rsidR="00C2347C">
              <w:rPr>
                <w:rFonts w:asciiTheme="minorHAnsi" w:hAnsiTheme="minorHAnsi" w:cstheme="minorHAnsi"/>
                <w:sz w:val="22"/>
                <w:szCs w:val="22"/>
                <w:lang w:val="en-GB"/>
              </w:rPr>
              <w:t xml:space="preserve"> after reviewing</w:t>
            </w:r>
            <w:r w:rsidRPr="001A22D3">
              <w:rPr>
                <w:rFonts w:asciiTheme="minorHAnsi" w:hAnsiTheme="minorHAnsi" w:cstheme="minorHAnsi"/>
                <w:sz w:val="22"/>
                <w:szCs w:val="22"/>
                <w:lang w:val="en-GB"/>
              </w:rPr>
              <w:t xml:space="preserve"> its strategy to become a think-tank specializing in the current challenges of the east of Ukraine.</w:t>
            </w:r>
            <w:r w:rsidRPr="001A22D3">
              <w:rPr>
                <w:lang w:val="en-GB"/>
              </w:rPr>
              <w:t xml:space="preserve"> </w:t>
            </w:r>
            <w:r w:rsidRPr="001A22D3">
              <w:rPr>
                <w:rFonts w:asciiTheme="minorHAnsi" w:hAnsiTheme="minorHAnsi" w:cstheme="minorHAnsi"/>
                <w:sz w:val="22"/>
                <w:szCs w:val="22"/>
                <w:lang w:val="en-GB"/>
              </w:rPr>
              <w:t>Under DHRP support, the Justice for Peace in Donbas Coalition has been formed and continue</w:t>
            </w:r>
            <w:r w:rsidR="00C2347C">
              <w:rPr>
                <w:rFonts w:asciiTheme="minorHAnsi" w:hAnsiTheme="minorHAnsi" w:cstheme="minorHAnsi"/>
                <w:sz w:val="22"/>
                <w:szCs w:val="22"/>
                <w:lang w:val="en-GB"/>
              </w:rPr>
              <w:t>s</w:t>
            </w:r>
            <w:r w:rsidRPr="001A22D3">
              <w:rPr>
                <w:rFonts w:asciiTheme="minorHAnsi" w:hAnsiTheme="minorHAnsi" w:cstheme="minorHAnsi"/>
                <w:sz w:val="22"/>
                <w:szCs w:val="22"/>
                <w:lang w:val="en-GB"/>
              </w:rPr>
              <w:t xml:space="preserve"> its activities to document human rights violations in the east.</w:t>
            </w:r>
          </w:p>
          <w:p w14:paraId="271E8329" w14:textId="77777777" w:rsidR="001A2049" w:rsidRPr="001A22D3" w:rsidRDefault="001A2049" w:rsidP="001A2049">
            <w:pPr>
              <w:pStyle w:val="FootnoteText"/>
              <w:widowControl w:val="0"/>
              <w:rPr>
                <w:rFonts w:asciiTheme="minorHAnsi" w:hAnsiTheme="minorHAnsi" w:cs="Arial"/>
                <w:sz w:val="22"/>
                <w:szCs w:val="22"/>
                <w:lang w:val="en-GB"/>
              </w:rPr>
            </w:pPr>
          </w:p>
        </w:tc>
      </w:tr>
      <w:tr w:rsidR="001A2049" w:rsidRPr="001A22D3" w14:paraId="3CEE15D8" w14:textId="77777777" w:rsidTr="00F65FC5">
        <w:tblPrEx>
          <w:tblBorders>
            <w:insideH w:val="single" w:sz="4" w:space="0" w:color="auto"/>
            <w:insideV w:val="single" w:sz="4" w:space="0" w:color="auto"/>
          </w:tblBorders>
        </w:tblPrEx>
        <w:trPr>
          <w:gridAfter w:val="2"/>
          <w:wAfter w:w="23" w:type="dxa"/>
          <w:trHeight w:val="274"/>
        </w:trPr>
        <w:tc>
          <w:tcPr>
            <w:tcW w:w="2875" w:type="dxa"/>
          </w:tcPr>
          <w:p w14:paraId="3C248DD7" w14:textId="77777777" w:rsidR="001A2049" w:rsidRPr="001A22D3" w:rsidRDefault="001A2049" w:rsidP="001A2049">
            <w:pPr>
              <w:rPr>
                <w:rFonts w:asciiTheme="minorHAnsi" w:hAnsiTheme="minorHAnsi" w:cstheme="minorHAnsi"/>
                <w:sz w:val="22"/>
                <w:szCs w:val="22"/>
              </w:rPr>
            </w:pPr>
            <w:r w:rsidRPr="001A22D3">
              <w:rPr>
                <w:rFonts w:asciiTheme="minorHAnsi" w:hAnsiTheme="minorHAnsi" w:cstheme="minorHAnsi"/>
                <w:b/>
                <w:i/>
                <w:sz w:val="22"/>
                <w:szCs w:val="22"/>
              </w:rPr>
              <w:t xml:space="preserve">Risk: </w:t>
            </w:r>
            <w:r w:rsidRPr="001A22D3">
              <w:rPr>
                <w:rFonts w:asciiTheme="minorHAnsi" w:hAnsiTheme="minorHAnsi" w:cstheme="minorHAnsi"/>
                <w:sz w:val="22"/>
                <w:szCs w:val="22"/>
              </w:rPr>
              <w:t>Inability to maintain activities in the Crimean region</w:t>
            </w:r>
          </w:p>
        </w:tc>
        <w:tc>
          <w:tcPr>
            <w:tcW w:w="3510" w:type="dxa"/>
          </w:tcPr>
          <w:p w14:paraId="6162580E" w14:textId="76C3B1A7" w:rsidR="00005AA3" w:rsidRPr="001A22D3" w:rsidRDefault="001A2049" w:rsidP="001A2049">
            <w:pPr>
              <w:pStyle w:val="FootnoteText"/>
              <w:rPr>
                <w:rFonts w:asciiTheme="minorHAnsi" w:hAnsiTheme="minorHAnsi" w:cstheme="minorHAnsi"/>
                <w:sz w:val="22"/>
                <w:szCs w:val="22"/>
                <w:lang w:val="en-GB"/>
              </w:rPr>
            </w:pPr>
            <w:r w:rsidRPr="001A22D3">
              <w:rPr>
                <w:rFonts w:asciiTheme="minorHAnsi" w:hAnsiTheme="minorHAnsi" w:cstheme="minorHAnsi"/>
                <w:sz w:val="22"/>
                <w:szCs w:val="22"/>
                <w:lang w:val="en-GB"/>
              </w:rPr>
              <w:t>The Autonomous Republic of Crimea remains under Russian occupation and has now fully “transitioned” into the legal system of the Russian Federation with its relevant restrictions for functioning of CSOs. These include, notably, the “foreign agent” law, the “undesirable organizations” law, as well as so-called anti-terrorist laws of Yarovaya package that envisages a prison sentence for “liking” or reposting web materials that could be found extremist (a very broad definition) by the authorities. These developments, alongside growing pressure on civic activity and journalis</w:t>
            </w:r>
            <w:r w:rsidR="00C2347C">
              <w:rPr>
                <w:rFonts w:asciiTheme="minorHAnsi" w:hAnsiTheme="minorHAnsi" w:cstheme="minorHAnsi"/>
                <w:sz w:val="22"/>
                <w:szCs w:val="22"/>
                <w:lang w:val="en-GB"/>
              </w:rPr>
              <w:t>m</w:t>
            </w:r>
            <w:r w:rsidRPr="001A22D3">
              <w:rPr>
                <w:rFonts w:asciiTheme="minorHAnsi" w:hAnsiTheme="minorHAnsi" w:cstheme="minorHAnsi"/>
                <w:sz w:val="22"/>
                <w:szCs w:val="22"/>
                <w:lang w:val="en-GB"/>
              </w:rPr>
              <w:t xml:space="preserve"> work, provide for an extremely unfavourable environment for CSOs to function in. In essence, direct support to CSO activity in Crimea from the mainland is now impossible.</w:t>
            </w:r>
          </w:p>
        </w:tc>
        <w:tc>
          <w:tcPr>
            <w:tcW w:w="3757" w:type="dxa"/>
            <w:gridSpan w:val="2"/>
          </w:tcPr>
          <w:p w14:paraId="14D900F5" w14:textId="77777777" w:rsidR="001A2049" w:rsidRPr="001A22D3" w:rsidRDefault="001A2049" w:rsidP="001A2049">
            <w:pPr>
              <w:rPr>
                <w:rFonts w:asciiTheme="minorHAnsi" w:hAnsiTheme="minorHAnsi" w:cstheme="minorHAnsi"/>
                <w:sz w:val="22"/>
                <w:szCs w:val="22"/>
              </w:rPr>
            </w:pPr>
            <w:r w:rsidRPr="001A22D3">
              <w:rPr>
                <w:rFonts w:asciiTheme="minorHAnsi" w:hAnsiTheme="minorHAnsi" w:cstheme="minorHAnsi"/>
                <w:sz w:val="22"/>
                <w:szCs w:val="22"/>
              </w:rPr>
              <w:t>Impact = 4; Probability = 5</w:t>
            </w:r>
          </w:p>
          <w:p w14:paraId="640671BF" w14:textId="77777777" w:rsidR="001A2049" w:rsidRPr="001A22D3" w:rsidRDefault="001A2049" w:rsidP="001A2049">
            <w:pPr>
              <w:rPr>
                <w:rFonts w:asciiTheme="minorHAnsi" w:hAnsiTheme="minorHAnsi" w:cstheme="minorHAnsi"/>
                <w:b/>
                <w:i/>
                <w:sz w:val="22"/>
                <w:szCs w:val="22"/>
              </w:rPr>
            </w:pPr>
            <w:r w:rsidRPr="001A22D3">
              <w:rPr>
                <w:rFonts w:asciiTheme="minorHAnsi" w:hAnsiTheme="minorHAnsi" w:cstheme="minorHAnsi"/>
                <w:b/>
                <w:i/>
                <w:sz w:val="22"/>
                <w:szCs w:val="22"/>
              </w:rPr>
              <w:t>Counteractive measures:</w:t>
            </w:r>
          </w:p>
          <w:p w14:paraId="664695CF" w14:textId="77777777" w:rsidR="001A2049" w:rsidRPr="001A22D3" w:rsidRDefault="001A2049" w:rsidP="001A2049">
            <w:pPr>
              <w:rPr>
                <w:rFonts w:asciiTheme="minorHAnsi" w:hAnsiTheme="minorHAnsi" w:cstheme="minorHAnsi"/>
                <w:sz w:val="22"/>
                <w:szCs w:val="22"/>
              </w:rPr>
            </w:pPr>
            <w:r w:rsidRPr="001A22D3">
              <w:rPr>
                <w:rFonts w:asciiTheme="minorHAnsi" w:hAnsiTheme="minorHAnsi" w:cstheme="minorHAnsi"/>
                <w:sz w:val="22"/>
                <w:szCs w:val="22"/>
              </w:rPr>
              <w:t xml:space="preserve">Keeping in mind the current situation, DHRP is unable to render direct and open support to CSOs that operate in Crimea. The Crimean Field Mission </w:t>
            </w:r>
            <w:r>
              <w:rPr>
                <w:rFonts w:asciiTheme="minorHAnsi" w:hAnsiTheme="minorHAnsi" w:cstheme="minorHAnsi"/>
                <w:sz w:val="22"/>
                <w:szCs w:val="22"/>
              </w:rPr>
              <w:t xml:space="preserve">established with DHRP support </w:t>
            </w:r>
            <w:r w:rsidRPr="001A22D3">
              <w:rPr>
                <w:rFonts w:asciiTheme="minorHAnsi" w:hAnsiTheme="minorHAnsi" w:cstheme="minorHAnsi"/>
                <w:sz w:val="22"/>
                <w:szCs w:val="22"/>
              </w:rPr>
              <w:t>has become sustainable and continues functioning independently;</w:t>
            </w:r>
            <w:r w:rsidRPr="001A22D3">
              <w:t xml:space="preserve"> </w:t>
            </w:r>
            <w:r w:rsidRPr="001A22D3">
              <w:rPr>
                <w:rFonts w:asciiTheme="minorHAnsi" w:hAnsiTheme="minorHAnsi" w:cstheme="minorHAnsi"/>
                <w:sz w:val="22"/>
                <w:szCs w:val="22"/>
              </w:rPr>
              <w:t xml:space="preserve">its reports are issued on a regular basis. </w:t>
            </w:r>
          </w:p>
        </w:tc>
      </w:tr>
      <w:tr w:rsidR="00B53557" w:rsidRPr="001A22D3" w14:paraId="475F01BA" w14:textId="77777777" w:rsidTr="00F65FC5">
        <w:tblPrEx>
          <w:tblBorders>
            <w:insideH w:val="single" w:sz="4" w:space="0" w:color="auto"/>
            <w:insideV w:val="single" w:sz="4" w:space="0" w:color="auto"/>
          </w:tblBorders>
        </w:tblPrEx>
        <w:trPr>
          <w:gridAfter w:val="2"/>
          <w:wAfter w:w="23" w:type="dxa"/>
          <w:trHeight w:val="274"/>
        </w:trPr>
        <w:tc>
          <w:tcPr>
            <w:tcW w:w="2875" w:type="dxa"/>
          </w:tcPr>
          <w:p w14:paraId="787A0169" w14:textId="4E62FF27" w:rsidR="00B53557" w:rsidRPr="001A22D3" w:rsidRDefault="00B53557" w:rsidP="00B53557">
            <w:pPr>
              <w:rPr>
                <w:rFonts w:asciiTheme="minorHAnsi" w:hAnsiTheme="minorHAnsi" w:cstheme="minorHAnsi"/>
                <w:b/>
                <w:i/>
                <w:sz w:val="22"/>
                <w:szCs w:val="22"/>
              </w:rPr>
            </w:pPr>
            <w:bookmarkStart w:id="2" w:name="_Hlk493516652"/>
            <w:r w:rsidRPr="00EF24AF">
              <w:rPr>
                <w:rFonts w:asciiTheme="minorHAnsi" w:hAnsiTheme="minorHAnsi" w:cstheme="minorHAnsi"/>
                <w:b/>
                <w:i/>
                <w:sz w:val="22"/>
                <w:szCs w:val="22"/>
              </w:rPr>
              <w:t>Risk:</w:t>
            </w:r>
            <w:r w:rsidRPr="00EF24AF">
              <w:rPr>
                <w:rFonts w:asciiTheme="minorHAnsi" w:hAnsiTheme="minorHAnsi" w:cstheme="minorHAnsi"/>
                <w:sz w:val="22"/>
                <w:szCs w:val="22"/>
              </w:rPr>
              <w:t xml:space="preserve"> Introduction of e-declarations for members of anti-corruption CSOs may inhibit non-state anti-corruption activities in Ukraine</w:t>
            </w:r>
            <w:r>
              <w:rPr>
                <w:rFonts w:asciiTheme="minorHAnsi" w:hAnsiTheme="minorHAnsi" w:cstheme="minorHAnsi"/>
                <w:sz w:val="22"/>
                <w:szCs w:val="22"/>
              </w:rPr>
              <w:t xml:space="preserve"> (new risk emerged in 2017)</w:t>
            </w:r>
            <w:r w:rsidRPr="00EF24AF">
              <w:rPr>
                <w:rFonts w:asciiTheme="minorHAnsi" w:hAnsiTheme="minorHAnsi" w:cstheme="minorHAnsi"/>
                <w:sz w:val="22"/>
                <w:szCs w:val="22"/>
              </w:rPr>
              <w:t>.</w:t>
            </w:r>
          </w:p>
        </w:tc>
        <w:tc>
          <w:tcPr>
            <w:tcW w:w="3510" w:type="dxa"/>
          </w:tcPr>
          <w:p w14:paraId="7B9515E6" w14:textId="42D2234D" w:rsidR="00B53557" w:rsidRPr="001A22D3" w:rsidRDefault="00B53557" w:rsidP="00B53557">
            <w:pPr>
              <w:pStyle w:val="FootnoteText"/>
              <w:rPr>
                <w:rFonts w:asciiTheme="minorHAnsi" w:hAnsiTheme="minorHAnsi" w:cstheme="minorHAnsi"/>
                <w:sz w:val="22"/>
                <w:szCs w:val="22"/>
                <w:lang w:val="en-GB"/>
              </w:rPr>
            </w:pPr>
            <w:r w:rsidRPr="00EF24AF">
              <w:rPr>
                <w:rFonts w:asciiTheme="minorHAnsi" w:hAnsiTheme="minorHAnsi" w:cstheme="minorHAnsi"/>
                <w:sz w:val="22"/>
                <w:szCs w:val="22"/>
                <w:lang w:val="en-GB"/>
              </w:rPr>
              <w:t>The Verkhovna Rada of Ukraine (VRU) amended the current legislation, which came into effect on 30 March 2017, to expand the scope of subjects to e-declaration. Among others, this provision covers</w:t>
            </w:r>
            <w:r w:rsidR="00C2347C">
              <w:rPr>
                <w:rFonts w:asciiTheme="minorHAnsi" w:hAnsiTheme="minorHAnsi" w:cstheme="minorHAnsi"/>
                <w:sz w:val="22"/>
                <w:szCs w:val="22"/>
                <w:lang w:val="en-GB"/>
              </w:rPr>
              <w:t>:</w:t>
            </w:r>
            <w:r w:rsidRPr="00EF24AF">
              <w:rPr>
                <w:rFonts w:asciiTheme="minorHAnsi" w:hAnsiTheme="minorHAnsi" w:cstheme="minorHAnsi"/>
                <w:sz w:val="22"/>
                <w:szCs w:val="22"/>
                <w:lang w:val="en-GB"/>
              </w:rPr>
              <w:t xml:space="preserve"> (1) CSOs’ staff, experts, consultants, who receive salar</w:t>
            </w:r>
            <w:r w:rsidR="00C2347C">
              <w:rPr>
                <w:rFonts w:asciiTheme="minorHAnsi" w:hAnsiTheme="minorHAnsi" w:cstheme="minorHAnsi"/>
                <w:sz w:val="22"/>
                <w:szCs w:val="22"/>
                <w:lang w:val="en-GB"/>
              </w:rPr>
              <w:t>ies</w:t>
            </w:r>
            <w:r w:rsidRPr="00EF24AF">
              <w:rPr>
                <w:rFonts w:asciiTheme="minorHAnsi" w:hAnsiTheme="minorHAnsi" w:cstheme="minorHAnsi"/>
                <w:sz w:val="22"/>
                <w:szCs w:val="22"/>
                <w:lang w:val="en-GB"/>
              </w:rPr>
              <w:t xml:space="preserve"> or fees from donor-funded anti-corruption projects implemented in Ukraine, either directly from the project or through other persons/entities (implementing organisation, sub-contractor, grantee, etc.); (2) individuals who provide/supply any auxiliary services or products, if payment for such services (products) come – directly or indirectly – from donor-funded anti-corruption project implemented in Ukraine (e.g. interpreters, persons providing printing or catering services, janitors, etc.); (3) participants of seminars, trainings,</w:t>
            </w:r>
            <w:r w:rsidR="00C2347C">
              <w:rPr>
                <w:rFonts w:asciiTheme="minorHAnsi" w:hAnsiTheme="minorHAnsi" w:cstheme="minorHAnsi"/>
                <w:sz w:val="22"/>
                <w:szCs w:val="22"/>
                <w:lang w:val="en-GB"/>
              </w:rPr>
              <w:t xml:space="preserve"> and</w:t>
            </w:r>
            <w:r w:rsidRPr="00EF24AF">
              <w:rPr>
                <w:rFonts w:asciiTheme="minorHAnsi" w:hAnsiTheme="minorHAnsi" w:cstheme="minorHAnsi"/>
                <w:sz w:val="22"/>
                <w:szCs w:val="22"/>
                <w:lang w:val="en-GB"/>
              </w:rPr>
              <w:t xml:space="preserve"> other events organized at the expense of an anti-corruption donor-funded project</w:t>
            </w:r>
            <w:r w:rsidR="00C2347C">
              <w:rPr>
                <w:rFonts w:asciiTheme="minorHAnsi" w:hAnsiTheme="minorHAnsi" w:cstheme="minorHAnsi"/>
                <w:sz w:val="22"/>
                <w:szCs w:val="22"/>
                <w:lang w:val="en-GB"/>
              </w:rPr>
              <w:t>s</w:t>
            </w:r>
            <w:r w:rsidRPr="00EF24AF">
              <w:rPr>
                <w:rFonts w:asciiTheme="minorHAnsi" w:hAnsiTheme="minorHAnsi" w:cstheme="minorHAnsi"/>
                <w:sz w:val="22"/>
                <w:szCs w:val="22"/>
                <w:lang w:val="en-GB"/>
              </w:rPr>
              <w:t xml:space="preserve"> (if such persons accept any benefits, even </w:t>
            </w:r>
            <w:r w:rsidR="00C2347C">
              <w:rPr>
                <w:rFonts w:asciiTheme="minorHAnsi" w:hAnsiTheme="minorHAnsi" w:cstheme="minorHAnsi"/>
                <w:sz w:val="22"/>
                <w:szCs w:val="22"/>
                <w:lang w:val="en-GB"/>
              </w:rPr>
              <w:t>with</w:t>
            </w:r>
            <w:r w:rsidRPr="00EF24AF">
              <w:rPr>
                <w:rFonts w:asciiTheme="minorHAnsi" w:hAnsiTheme="minorHAnsi" w:cstheme="minorHAnsi"/>
                <w:sz w:val="22"/>
                <w:szCs w:val="22"/>
                <w:lang w:val="en-GB"/>
              </w:rPr>
              <w:t xml:space="preserve"> low value, e.g. handout materials, meals, travel costs, accommodation</w:t>
            </w:r>
            <w:r w:rsidR="00C2347C">
              <w:rPr>
                <w:rFonts w:asciiTheme="minorHAnsi" w:hAnsiTheme="minorHAnsi" w:cstheme="minorHAnsi"/>
                <w:sz w:val="22"/>
                <w:szCs w:val="22"/>
                <w:lang w:val="en-GB"/>
              </w:rPr>
              <w:t>s, etc.</w:t>
            </w:r>
            <w:r w:rsidRPr="00EF24AF">
              <w:rPr>
                <w:rFonts w:asciiTheme="minorHAnsi" w:hAnsiTheme="minorHAnsi" w:cstheme="minorHAnsi"/>
                <w:sz w:val="22"/>
                <w:szCs w:val="22"/>
                <w:lang w:val="en-GB"/>
              </w:rPr>
              <w:t xml:space="preserve">). These discriminatory amendments will have a far-reaching effect on anti-corruption reform in Ukraine. </w:t>
            </w:r>
            <w:r w:rsidR="00C2347C">
              <w:rPr>
                <w:rFonts w:asciiTheme="minorHAnsi" w:hAnsiTheme="minorHAnsi" w:cstheme="minorHAnsi"/>
                <w:sz w:val="22"/>
                <w:szCs w:val="22"/>
                <w:lang w:val="en-GB"/>
              </w:rPr>
              <w:t>Particularly</w:t>
            </w:r>
            <w:r w:rsidRPr="00EF24AF">
              <w:rPr>
                <w:rFonts w:asciiTheme="minorHAnsi" w:hAnsiTheme="minorHAnsi" w:cstheme="minorHAnsi"/>
                <w:sz w:val="22"/>
                <w:szCs w:val="22"/>
                <w:lang w:val="en-GB"/>
              </w:rPr>
              <w:t xml:space="preserve">, </w:t>
            </w:r>
            <w:r w:rsidR="00C2347C">
              <w:rPr>
                <w:rFonts w:asciiTheme="minorHAnsi" w:hAnsiTheme="minorHAnsi" w:cstheme="minorHAnsi"/>
                <w:sz w:val="22"/>
                <w:szCs w:val="22"/>
                <w:lang w:val="en-GB"/>
              </w:rPr>
              <w:t>the amendments</w:t>
            </w:r>
            <w:r w:rsidRPr="00EF24AF">
              <w:rPr>
                <w:rFonts w:asciiTheme="minorHAnsi" w:hAnsiTheme="minorHAnsi" w:cstheme="minorHAnsi"/>
                <w:sz w:val="22"/>
                <w:szCs w:val="22"/>
                <w:lang w:val="en-GB"/>
              </w:rPr>
              <w:t xml:space="preserve"> will effectively inhibit </w:t>
            </w:r>
            <w:r w:rsidR="00C2347C">
              <w:rPr>
                <w:rFonts w:asciiTheme="minorHAnsi" w:hAnsiTheme="minorHAnsi" w:cstheme="minorHAnsi"/>
                <w:sz w:val="22"/>
                <w:szCs w:val="22"/>
                <w:lang w:val="en-GB"/>
              </w:rPr>
              <w:t xml:space="preserve">the </w:t>
            </w:r>
            <w:r w:rsidRPr="00EF24AF">
              <w:rPr>
                <w:rFonts w:asciiTheme="minorHAnsi" w:hAnsiTheme="minorHAnsi" w:cstheme="minorHAnsi"/>
                <w:sz w:val="22"/>
                <w:szCs w:val="22"/>
                <w:lang w:val="en-GB"/>
              </w:rPr>
              <w:t>implementation of the existing anti-corruption development cooperation projects by both project implementation teams and their local partners</w:t>
            </w:r>
            <w:r w:rsidR="00C2347C">
              <w:rPr>
                <w:rFonts w:asciiTheme="minorHAnsi" w:hAnsiTheme="minorHAnsi" w:cstheme="minorHAnsi"/>
                <w:sz w:val="22"/>
                <w:szCs w:val="22"/>
                <w:lang w:val="en-GB"/>
              </w:rPr>
              <w:t>.</w:t>
            </w:r>
            <w:r w:rsidRPr="00EF24AF">
              <w:rPr>
                <w:rFonts w:asciiTheme="minorHAnsi" w:hAnsiTheme="minorHAnsi" w:cstheme="minorHAnsi"/>
                <w:sz w:val="22"/>
                <w:szCs w:val="22"/>
                <w:lang w:val="en-GB"/>
              </w:rPr>
              <w:t xml:space="preserve"> </w:t>
            </w:r>
            <w:r w:rsidR="00C2347C">
              <w:rPr>
                <w:rFonts w:asciiTheme="minorHAnsi" w:hAnsiTheme="minorHAnsi" w:cstheme="minorHAnsi"/>
                <w:sz w:val="22"/>
                <w:szCs w:val="22"/>
                <w:lang w:val="en-GB"/>
              </w:rPr>
              <w:t xml:space="preserve">They will </w:t>
            </w:r>
            <w:r w:rsidRPr="00EF24AF">
              <w:rPr>
                <w:rFonts w:asciiTheme="minorHAnsi" w:hAnsiTheme="minorHAnsi" w:cstheme="minorHAnsi"/>
                <w:sz w:val="22"/>
                <w:szCs w:val="22"/>
                <w:lang w:val="en-GB"/>
              </w:rPr>
              <w:t>prevent appearance</w:t>
            </w:r>
            <w:r w:rsidR="00C2347C">
              <w:rPr>
                <w:rFonts w:asciiTheme="minorHAnsi" w:hAnsiTheme="minorHAnsi" w:cstheme="minorHAnsi"/>
                <w:sz w:val="22"/>
                <w:szCs w:val="22"/>
                <w:lang w:val="en-GB"/>
              </w:rPr>
              <w:t>s</w:t>
            </w:r>
            <w:r w:rsidRPr="00EF24AF">
              <w:rPr>
                <w:rFonts w:asciiTheme="minorHAnsi" w:hAnsiTheme="minorHAnsi" w:cstheme="minorHAnsi"/>
                <w:sz w:val="22"/>
                <w:szCs w:val="22"/>
                <w:lang w:val="en-GB"/>
              </w:rPr>
              <w:t xml:space="preserve"> of both new anti-corruption NGOs and technical cooperation projects.</w:t>
            </w:r>
            <w:r w:rsidRPr="00EF24AF">
              <w:rPr>
                <w:lang w:val="en-GB"/>
              </w:rPr>
              <w:t xml:space="preserve"> </w:t>
            </w:r>
            <w:r w:rsidRPr="00EF24AF">
              <w:rPr>
                <w:rFonts w:asciiTheme="minorHAnsi" w:hAnsiTheme="minorHAnsi" w:cstheme="minorHAnsi"/>
                <w:sz w:val="22"/>
                <w:szCs w:val="22"/>
                <w:lang w:val="en-GB"/>
              </w:rPr>
              <w:t>Although the President of Ukraine has</w:t>
            </w:r>
            <w:r>
              <w:rPr>
                <w:rFonts w:asciiTheme="minorHAnsi" w:hAnsiTheme="minorHAnsi" w:cstheme="minorHAnsi"/>
                <w:sz w:val="22"/>
                <w:szCs w:val="22"/>
                <w:lang w:val="en-GB"/>
              </w:rPr>
              <w:t xml:space="preserve"> </w:t>
            </w:r>
            <w:r w:rsidRPr="00FA73C0">
              <w:rPr>
                <w:rFonts w:asciiTheme="minorHAnsi" w:hAnsiTheme="minorHAnsi" w:cstheme="minorHAnsi"/>
                <w:sz w:val="22"/>
                <w:szCs w:val="22"/>
                <w:lang w:val="en-GB"/>
              </w:rPr>
              <w:t>suggested to substitute these requirements with new reporting obligations for a wide range of NGOs</w:t>
            </w:r>
            <w:r w:rsidRPr="00EF24AF">
              <w:rPr>
                <w:rFonts w:asciiTheme="minorHAnsi" w:hAnsiTheme="minorHAnsi" w:cstheme="minorHAnsi"/>
                <w:sz w:val="22"/>
                <w:szCs w:val="22"/>
                <w:lang w:val="en-GB"/>
              </w:rPr>
              <w:t>, the prospects of cancelling the adopted amendments are not clear</w:t>
            </w:r>
            <w:r w:rsidR="001E02A1">
              <w:rPr>
                <w:rFonts w:asciiTheme="minorHAnsi" w:hAnsiTheme="minorHAnsi" w:cstheme="minorHAnsi"/>
                <w:sz w:val="22"/>
                <w:szCs w:val="22"/>
                <w:lang w:val="en-GB"/>
              </w:rPr>
              <w:t xml:space="preserve">, and the newly proposed changes to CSOs’ reporting are also quite contradictory causing real confrontation between the authorities and civil society.  </w:t>
            </w:r>
          </w:p>
        </w:tc>
        <w:tc>
          <w:tcPr>
            <w:tcW w:w="3757" w:type="dxa"/>
            <w:gridSpan w:val="2"/>
          </w:tcPr>
          <w:p w14:paraId="0FA37716" w14:textId="1A531F5E" w:rsidR="00B53557" w:rsidRPr="00EF24AF" w:rsidRDefault="00B53557" w:rsidP="00B53557">
            <w:pPr>
              <w:pStyle w:val="Default"/>
              <w:jc w:val="both"/>
              <w:rPr>
                <w:rFonts w:asciiTheme="minorHAnsi" w:hAnsiTheme="minorHAnsi" w:cstheme="minorHAnsi"/>
                <w:sz w:val="22"/>
                <w:szCs w:val="22"/>
                <w:lang w:val="en-GB"/>
              </w:rPr>
            </w:pPr>
            <w:r w:rsidRPr="00EF24AF">
              <w:rPr>
                <w:rFonts w:asciiTheme="minorHAnsi" w:hAnsiTheme="minorHAnsi" w:cstheme="minorHAnsi"/>
                <w:b/>
                <w:i/>
                <w:color w:val="auto"/>
                <w:sz w:val="22"/>
                <w:szCs w:val="22"/>
                <w:lang w:val="en-GB" w:eastAsia="da-DK"/>
              </w:rPr>
              <w:t xml:space="preserve">Effect on implementation (1 – low, 5 - high): </w:t>
            </w:r>
            <w:r w:rsidRPr="00EF24AF">
              <w:rPr>
                <w:rFonts w:asciiTheme="minorHAnsi" w:hAnsiTheme="minorHAnsi" w:cstheme="minorHAnsi"/>
                <w:sz w:val="22"/>
                <w:szCs w:val="22"/>
                <w:lang w:val="en-GB"/>
              </w:rPr>
              <w:t xml:space="preserve">Impact = </w:t>
            </w:r>
            <w:r>
              <w:rPr>
                <w:rFonts w:asciiTheme="minorHAnsi" w:hAnsiTheme="minorHAnsi" w:cstheme="minorHAnsi"/>
                <w:sz w:val="22"/>
                <w:szCs w:val="22"/>
                <w:lang w:val="uk-UA"/>
              </w:rPr>
              <w:t>3</w:t>
            </w:r>
            <w:r w:rsidR="00C82A11">
              <w:rPr>
                <w:rFonts w:asciiTheme="minorHAnsi" w:hAnsiTheme="minorHAnsi" w:cstheme="minorHAnsi"/>
                <w:sz w:val="22"/>
                <w:szCs w:val="22"/>
              </w:rPr>
              <w:t xml:space="preserve"> </w:t>
            </w:r>
            <w:r w:rsidRPr="00EF24AF">
              <w:rPr>
                <w:rFonts w:asciiTheme="minorHAnsi" w:hAnsiTheme="minorHAnsi" w:cstheme="minorHAnsi"/>
                <w:sz w:val="22"/>
                <w:szCs w:val="22"/>
                <w:lang w:val="en-GB"/>
              </w:rPr>
              <w:t>Probability = 4</w:t>
            </w:r>
          </w:p>
          <w:p w14:paraId="0D1C3394" w14:textId="77777777" w:rsidR="00B53557" w:rsidRPr="00EF24AF" w:rsidRDefault="00B53557" w:rsidP="00B53557">
            <w:pPr>
              <w:pStyle w:val="FootnoteText"/>
              <w:widowControl w:val="0"/>
              <w:jc w:val="both"/>
              <w:rPr>
                <w:rFonts w:asciiTheme="minorHAnsi" w:hAnsiTheme="minorHAnsi" w:cstheme="minorHAnsi"/>
                <w:b/>
                <w:i/>
                <w:sz w:val="22"/>
                <w:szCs w:val="22"/>
                <w:lang w:val="en-GB"/>
              </w:rPr>
            </w:pPr>
            <w:r w:rsidRPr="00EF24AF">
              <w:rPr>
                <w:rFonts w:asciiTheme="minorHAnsi" w:hAnsiTheme="minorHAnsi" w:cstheme="minorHAnsi"/>
                <w:b/>
                <w:i/>
                <w:sz w:val="22"/>
                <w:szCs w:val="22"/>
                <w:lang w:val="en-GB"/>
              </w:rPr>
              <w:t>Counteractive measures:</w:t>
            </w:r>
          </w:p>
          <w:p w14:paraId="21760308" w14:textId="7C1ED198" w:rsidR="00B53557" w:rsidRPr="001A22D3" w:rsidRDefault="00B53557" w:rsidP="00B53557">
            <w:pPr>
              <w:rPr>
                <w:rFonts w:asciiTheme="minorHAnsi" w:hAnsiTheme="minorHAnsi" w:cstheme="minorHAnsi"/>
                <w:sz w:val="22"/>
                <w:szCs w:val="22"/>
              </w:rPr>
            </w:pPr>
            <w:r>
              <w:rPr>
                <w:rFonts w:asciiTheme="minorHAnsi" w:hAnsiTheme="minorHAnsi" w:cstheme="minorHAnsi"/>
                <w:sz w:val="22"/>
                <w:szCs w:val="22"/>
              </w:rPr>
              <w:t xml:space="preserve">New UNDP projects on CSOs </w:t>
            </w:r>
            <w:r w:rsidRPr="00EF24AF">
              <w:rPr>
                <w:rFonts w:asciiTheme="minorHAnsi" w:hAnsiTheme="minorHAnsi" w:cstheme="minorHAnsi"/>
                <w:sz w:val="22"/>
                <w:szCs w:val="22"/>
              </w:rPr>
              <w:t>will</w:t>
            </w:r>
            <w:r w:rsidR="00C2347C">
              <w:rPr>
                <w:rFonts w:asciiTheme="minorHAnsi" w:hAnsiTheme="minorHAnsi" w:cstheme="minorHAnsi"/>
                <w:sz w:val="22"/>
                <w:szCs w:val="22"/>
              </w:rPr>
              <w:t>:</w:t>
            </w:r>
            <w:r w:rsidRPr="00EF24AF">
              <w:rPr>
                <w:rFonts w:asciiTheme="minorHAnsi" w:hAnsiTheme="minorHAnsi" w:cstheme="minorHAnsi"/>
                <w:sz w:val="22"/>
                <w:szCs w:val="22"/>
              </w:rPr>
              <w:t xml:space="preserve"> (1) cooperate with development partners to push a strong position against new legislative provisions from Ukraine’s main international partners</w:t>
            </w:r>
            <w:r>
              <w:rPr>
                <w:rFonts w:asciiTheme="minorHAnsi" w:hAnsiTheme="minorHAnsi" w:cstheme="minorHAnsi"/>
                <w:sz w:val="22"/>
                <w:szCs w:val="22"/>
              </w:rPr>
              <w:t xml:space="preserve"> (2017)</w:t>
            </w:r>
            <w:r w:rsidRPr="00EF24AF">
              <w:rPr>
                <w:rFonts w:asciiTheme="minorHAnsi" w:hAnsiTheme="minorHAnsi" w:cstheme="minorHAnsi"/>
                <w:sz w:val="22"/>
                <w:szCs w:val="22"/>
              </w:rPr>
              <w:t xml:space="preserve">; (2) </w:t>
            </w:r>
            <w:r w:rsidRPr="008C7FA6">
              <w:rPr>
                <w:rFonts w:asciiTheme="minorHAnsi" w:hAnsiTheme="minorHAnsi" w:cstheme="minorHAnsi"/>
                <w:sz w:val="22"/>
                <w:szCs w:val="22"/>
              </w:rPr>
              <w:t xml:space="preserve">cooperate with CSOs and other non-state actors to facilitate </w:t>
            </w:r>
            <w:r>
              <w:rPr>
                <w:rFonts w:asciiTheme="minorHAnsi" w:hAnsiTheme="minorHAnsi" w:cstheme="minorHAnsi"/>
                <w:sz w:val="22"/>
                <w:szCs w:val="22"/>
              </w:rPr>
              <w:t xml:space="preserve">the </w:t>
            </w:r>
            <w:r w:rsidRPr="008C7FA6">
              <w:rPr>
                <w:rFonts w:asciiTheme="minorHAnsi" w:hAnsiTheme="minorHAnsi" w:cstheme="minorHAnsi"/>
                <w:sz w:val="22"/>
                <w:szCs w:val="22"/>
              </w:rPr>
              <w:t xml:space="preserve">introduction of the new declaration regime </w:t>
            </w:r>
            <w:r>
              <w:rPr>
                <w:rFonts w:asciiTheme="minorHAnsi" w:hAnsiTheme="minorHAnsi" w:cstheme="minorHAnsi"/>
                <w:sz w:val="22"/>
                <w:szCs w:val="22"/>
              </w:rPr>
              <w:t>provided</w:t>
            </w:r>
            <w:r w:rsidRPr="008C7FA6">
              <w:rPr>
                <w:rFonts w:asciiTheme="minorHAnsi" w:hAnsiTheme="minorHAnsi" w:cstheme="minorHAnsi"/>
                <w:sz w:val="22"/>
                <w:szCs w:val="22"/>
              </w:rPr>
              <w:t xml:space="preserve"> it is not revoked</w:t>
            </w:r>
            <w:r>
              <w:rPr>
                <w:rFonts w:asciiTheme="minorHAnsi" w:hAnsiTheme="minorHAnsi" w:cstheme="minorHAnsi"/>
                <w:sz w:val="22"/>
                <w:szCs w:val="22"/>
              </w:rPr>
              <w:t xml:space="preserve"> (2017)</w:t>
            </w:r>
            <w:r w:rsidRPr="008C7FA6">
              <w:rPr>
                <w:rFonts w:asciiTheme="minorHAnsi" w:hAnsiTheme="minorHAnsi" w:cstheme="minorHAnsi"/>
                <w:sz w:val="22"/>
                <w:szCs w:val="22"/>
              </w:rPr>
              <w:t>.</w:t>
            </w:r>
          </w:p>
        </w:tc>
      </w:tr>
      <w:bookmarkEnd w:id="2"/>
      <w:tr w:rsidR="00B53557" w:rsidRPr="001A22D3" w14:paraId="451B237A" w14:textId="77777777" w:rsidTr="001A2049">
        <w:tblPrEx>
          <w:tblBorders>
            <w:insideH w:val="single" w:sz="4" w:space="0" w:color="auto"/>
            <w:insideV w:val="single" w:sz="4" w:space="0" w:color="auto"/>
          </w:tblBorders>
        </w:tblPrEx>
        <w:trPr>
          <w:gridAfter w:val="2"/>
          <w:wAfter w:w="23" w:type="dxa"/>
          <w:trHeight w:val="531"/>
        </w:trPr>
        <w:tc>
          <w:tcPr>
            <w:tcW w:w="10142" w:type="dxa"/>
            <w:gridSpan w:val="4"/>
            <w:tcBorders>
              <w:bottom w:val="single" w:sz="4" w:space="0" w:color="auto"/>
            </w:tcBorders>
          </w:tcPr>
          <w:p w14:paraId="036A1253" w14:textId="77777777" w:rsidR="00B53557" w:rsidRDefault="00B53557" w:rsidP="00B53557">
            <w:pPr>
              <w:widowControl w:val="0"/>
              <w:rPr>
                <w:rFonts w:asciiTheme="minorHAnsi" w:hAnsiTheme="minorHAnsi" w:cs="Arial"/>
                <w:b/>
                <w:bCs/>
                <w:sz w:val="22"/>
                <w:szCs w:val="22"/>
              </w:rPr>
            </w:pPr>
          </w:p>
          <w:p w14:paraId="14C8CBAC" w14:textId="5D2F8765" w:rsidR="00B53557" w:rsidRPr="001A22D3" w:rsidRDefault="00B53557" w:rsidP="00B53557">
            <w:pPr>
              <w:widowControl w:val="0"/>
              <w:rPr>
                <w:rStyle w:val="hps"/>
                <w:rFonts w:asciiTheme="minorHAnsi" w:hAnsiTheme="minorHAnsi"/>
                <w:sz w:val="22"/>
                <w:szCs w:val="22"/>
              </w:rPr>
            </w:pPr>
            <w:r w:rsidRPr="001A22D3">
              <w:rPr>
                <w:rFonts w:asciiTheme="minorHAnsi" w:hAnsiTheme="minorHAnsi" w:cs="Arial"/>
                <w:b/>
                <w:bCs/>
                <w:sz w:val="22"/>
                <w:szCs w:val="22"/>
              </w:rPr>
              <w:t>10.  Status – Contribution to Programme's outcome objectives</w:t>
            </w:r>
          </w:p>
          <w:p w14:paraId="763A54E8" w14:textId="740A2780" w:rsidR="00B53557" w:rsidRDefault="00B53557" w:rsidP="00B53557">
            <w:pPr>
              <w:pStyle w:val="FootnoteText"/>
              <w:widowControl w:val="0"/>
              <w:rPr>
                <w:rFonts w:asciiTheme="minorHAnsi" w:hAnsiTheme="minorHAnsi" w:cs="Arial"/>
                <w:i/>
                <w:sz w:val="22"/>
                <w:szCs w:val="22"/>
                <w:lang w:val="en-GB"/>
              </w:rPr>
            </w:pPr>
            <w:r w:rsidRPr="001A22D3">
              <w:rPr>
                <w:rFonts w:asciiTheme="minorHAnsi" w:hAnsiTheme="minorHAnsi" w:cs="Arial"/>
                <w:i/>
                <w:sz w:val="22"/>
                <w:szCs w:val="22"/>
                <w:lang w:val="en-GB"/>
              </w:rPr>
              <w:t xml:space="preserve">Give an account of selected contributions to the Programme's objectives and indicators. </w:t>
            </w:r>
          </w:p>
          <w:p w14:paraId="449A555B" w14:textId="3E420248" w:rsidR="00B53557" w:rsidRDefault="00B53557" w:rsidP="00B53557">
            <w:pPr>
              <w:pStyle w:val="FootnoteText"/>
              <w:widowControl w:val="0"/>
              <w:rPr>
                <w:rFonts w:asciiTheme="minorHAnsi" w:hAnsiTheme="minorHAnsi" w:cs="Arial"/>
                <w:i/>
                <w:sz w:val="22"/>
                <w:szCs w:val="22"/>
                <w:lang w:val="en-GB"/>
              </w:rPr>
            </w:pPr>
          </w:p>
          <w:p w14:paraId="1326922E" w14:textId="77777777" w:rsidR="00484078" w:rsidRPr="00484078" w:rsidRDefault="00484078" w:rsidP="00484078">
            <w:pPr>
              <w:jc w:val="both"/>
              <w:rPr>
                <w:rFonts w:asciiTheme="minorHAnsi" w:hAnsiTheme="minorHAnsi" w:cstheme="minorHAnsi"/>
                <w:b/>
                <w:i/>
                <w:sz w:val="22"/>
                <w:szCs w:val="22"/>
              </w:rPr>
            </w:pPr>
            <w:r w:rsidRPr="00484078">
              <w:rPr>
                <w:rFonts w:asciiTheme="minorHAnsi" w:hAnsiTheme="minorHAnsi" w:cstheme="minorHAnsi"/>
                <w:b/>
                <w:i/>
                <w:sz w:val="22"/>
                <w:szCs w:val="22"/>
              </w:rPr>
              <w:t>Outcome: CSOs are strengthened to be resilient and effective promoters of democratic value, supporting human rights actors to promote and defend human rights in Ukraine as well as fostering participatory and results-driven Government-CSO dialogue.</w:t>
            </w:r>
          </w:p>
          <w:p w14:paraId="28E84F15" w14:textId="09266529" w:rsidR="00484078" w:rsidRDefault="00484078" w:rsidP="00B53557">
            <w:pPr>
              <w:pStyle w:val="FootnoteText"/>
              <w:widowControl w:val="0"/>
              <w:rPr>
                <w:rFonts w:asciiTheme="minorHAnsi" w:hAnsiTheme="minorHAnsi" w:cs="Arial"/>
                <w:i/>
                <w:sz w:val="22"/>
                <w:szCs w:val="22"/>
                <w:lang w:val="en-US"/>
              </w:rPr>
            </w:pPr>
          </w:p>
          <w:p w14:paraId="2103980F" w14:textId="57019294" w:rsidR="005B25FD" w:rsidRDefault="005B25FD" w:rsidP="00B53557">
            <w:pPr>
              <w:pStyle w:val="FootnoteText"/>
              <w:widowControl w:val="0"/>
              <w:rPr>
                <w:rFonts w:asciiTheme="minorHAnsi" w:hAnsiTheme="minorHAnsi" w:cstheme="minorHAnsi"/>
                <w:b/>
                <w:sz w:val="22"/>
                <w:szCs w:val="22"/>
              </w:rPr>
            </w:pPr>
            <w:r>
              <w:rPr>
                <w:rFonts w:asciiTheme="minorHAnsi" w:hAnsiTheme="minorHAnsi" w:cstheme="minorHAnsi"/>
                <w:b/>
                <w:sz w:val="22"/>
                <w:szCs w:val="22"/>
              </w:rPr>
              <w:t>S</w:t>
            </w:r>
            <w:r w:rsidRPr="00EF24AF">
              <w:rPr>
                <w:rFonts w:asciiTheme="minorHAnsi" w:hAnsiTheme="minorHAnsi" w:cstheme="minorHAnsi"/>
                <w:b/>
                <w:sz w:val="22"/>
                <w:szCs w:val="22"/>
              </w:rPr>
              <w:t>tatus of key outcome indicators</w:t>
            </w:r>
            <w:r>
              <w:rPr>
                <w:rFonts w:asciiTheme="minorHAnsi" w:hAnsiTheme="minorHAnsi" w:cstheme="minorHAnsi"/>
                <w:b/>
                <w:sz w:val="22"/>
                <w:szCs w:val="22"/>
              </w:rPr>
              <w:t xml:space="preserve"> by the end of the project</w:t>
            </w:r>
          </w:p>
          <w:p w14:paraId="72611FB0" w14:textId="1309A0AC" w:rsidR="005B25FD" w:rsidRDefault="005B25FD" w:rsidP="00B53557">
            <w:pPr>
              <w:pStyle w:val="FootnoteText"/>
              <w:widowControl w:val="0"/>
              <w:rPr>
                <w:rFonts w:asciiTheme="minorHAnsi" w:hAnsiTheme="minorHAnsi" w:cstheme="minorHAnsi"/>
                <w:b/>
                <w:sz w:val="22"/>
                <w:szCs w:val="22"/>
              </w:rPr>
            </w:pPr>
          </w:p>
          <w:p w14:paraId="19025272" w14:textId="6D6B6F89" w:rsidR="000C6DA3" w:rsidRDefault="000C6DA3"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Civil society has increased capacit</w:t>
            </w:r>
            <w:r w:rsidR="00255432">
              <w:rPr>
                <w:rFonts w:asciiTheme="minorHAnsi" w:hAnsiTheme="minorHAnsi" w:cstheme="minorHAnsi"/>
                <w:sz w:val="22"/>
                <w:szCs w:val="22"/>
              </w:rPr>
              <w:t>ies</w:t>
            </w:r>
            <w:r w:rsidRPr="003A7050">
              <w:rPr>
                <w:rFonts w:asciiTheme="minorHAnsi" w:hAnsiTheme="minorHAnsi" w:cstheme="minorHAnsi"/>
                <w:sz w:val="22"/>
                <w:szCs w:val="22"/>
              </w:rPr>
              <w:t xml:space="preserve"> and contribute to the democratic processes</w:t>
            </w:r>
          </w:p>
          <w:p w14:paraId="34FF3D2A" w14:textId="3C846772" w:rsidR="002F494F" w:rsidRPr="00E44216" w:rsidRDefault="002F494F" w:rsidP="008962E4">
            <w:pPr>
              <w:pStyle w:val="ListParagraph"/>
              <w:numPr>
                <w:ilvl w:val="1"/>
                <w:numId w:val="21"/>
              </w:numPr>
              <w:shd w:val="clear" w:color="auto" w:fill="FFFFFF" w:themeFill="background1"/>
              <w:jc w:val="both"/>
              <w:rPr>
                <w:rFonts w:asciiTheme="minorHAnsi" w:eastAsia="Calibri" w:hAnsiTheme="minorHAnsi" w:cstheme="minorHAnsi"/>
                <w:sz w:val="22"/>
                <w:szCs w:val="22"/>
              </w:rPr>
            </w:pPr>
            <w:r w:rsidRPr="00260D40">
              <w:rPr>
                <w:rFonts w:asciiTheme="minorHAnsi" w:eastAsia="Calibri" w:hAnsiTheme="minorHAnsi" w:cstheme="minorHAnsi"/>
                <w:sz w:val="22"/>
                <w:szCs w:val="22"/>
              </w:rPr>
              <w:t xml:space="preserve">World Bank Government Effectiveness Index improved from </w:t>
            </w:r>
            <w:r w:rsidR="009B0F89" w:rsidRPr="00260D40">
              <w:rPr>
                <w:rFonts w:asciiTheme="minorHAnsi" w:eastAsia="Calibri" w:hAnsiTheme="minorHAnsi" w:cstheme="minorHAnsi"/>
                <w:sz w:val="22"/>
                <w:szCs w:val="22"/>
              </w:rPr>
              <w:t xml:space="preserve">25 percentile in 2012 </w:t>
            </w:r>
            <w:r w:rsidR="00260D40" w:rsidRPr="00260D40">
              <w:rPr>
                <w:rFonts w:asciiTheme="minorHAnsi" w:eastAsia="Calibri" w:hAnsiTheme="minorHAnsi" w:cstheme="minorHAnsi"/>
                <w:sz w:val="22"/>
                <w:szCs w:val="22"/>
                <w:lang w:val="en-US"/>
              </w:rPr>
              <w:t>to 3</w:t>
            </w:r>
            <w:r w:rsidR="00E44216">
              <w:rPr>
                <w:rFonts w:asciiTheme="minorHAnsi" w:eastAsia="Calibri" w:hAnsiTheme="minorHAnsi" w:cstheme="minorHAnsi"/>
                <w:sz w:val="22"/>
                <w:szCs w:val="22"/>
                <w:lang w:val="en-US"/>
              </w:rPr>
              <w:t>1.73</w:t>
            </w:r>
            <w:r w:rsidR="00260D40" w:rsidRPr="00260D40">
              <w:rPr>
                <w:rFonts w:asciiTheme="minorHAnsi" w:eastAsia="Calibri" w:hAnsiTheme="minorHAnsi" w:cstheme="minorHAnsi"/>
                <w:sz w:val="22"/>
                <w:szCs w:val="22"/>
                <w:lang w:val="en-US"/>
              </w:rPr>
              <w:t xml:space="preserve"> in 201</w:t>
            </w:r>
            <w:r w:rsidR="00E44216">
              <w:rPr>
                <w:rFonts w:asciiTheme="minorHAnsi" w:eastAsia="Calibri" w:hAnsiTheme="minorHAnsi" w:cstheme="minorHAnsi"/>
                <w:sz w:val="22"/>
                <w:szCs w:val="22"/>
                <w:lang w:val="en-US"/>
              </w:rPr>
              <w:t>6</w:t>
            </w:r>
            <w:r w:rsidR="00260D40" w:rsidRPr="00260D40">
              <w:rPr>
                <w:rFonts w:asciiTheme="minorHAnsi" w:eastAsia="Calibri" w:hAnsiTheme="minorHAnsi" w:cstheme="minorHAnsi"/>
                <w:sz w:val="22"/>
                <w:szCs w:val="22"/>
                <w:lang w:val="en-US"/>
              </w:rPr>
              <w:t xml:space="preserve"> (by</w:t>
            </w:r>
            <w:r w:rsidR="00E44216">
              <w:rPr>
                <w:rFonts w:asciiTheme="minorHAnsi" w:eastAsia="Calibri" w:hAnsiTheme="minorHAnsi" w:cstheme="minorHAnsi"/>
                <w:sz w:val="22"/>
                <w:szCs w:val="22"/>
                <w:lang w:val="en-US"/>
              </w:rPr>
              <w:t xml:space="preserve"> 6.73 </w:t>
            </w:r>
            <w:r w:rsidR="00260D40" w:rsidRPr="00260D40">
              <w:rPr>
                <w:rFonts w:asciiTheme="minorHAnsi" w:eastAsia="Calibri" w:hAnsiTheme="minorHAnsi" w:cstheme="minorHAnsi"/>
                <w:sz w:val="22"/>
                <w:szCs w:val="22"/>
                <w:lang w:val="en-US"/>
              </w:rPr>
              <w:t>percentile)</w:t>
            </w:r>
          </w:p>
          <w:p w14:paraId="6960373D" w14:textId="3CD43B99" w:rsidR="000C6DA3" w:rsidRPr="00E114F2" w:rsidRDefault="000C6DA3" w:rsidP="008962E4">
            <w:pPr>
              <w:pStyle w:val="ListParagraph"/>
              <w:numPr>
                <w:ilvl w:val="1"/>
                <w:numId w:val="21"/>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CSO Sustainability Index (USAID) for </w:t>
            </w:r>
            <w:r w:rsidRPr="00E114F2">
              <w:rPr>
                <w:rFonts w:asciiTheme="minorHAnsi" w:eastAsia="Calibri" w:hAnsiTheme="minorHAnsi" w:cstheme="minorHAnsi"/>
                <w:sz w:val="22"/>
                <w:szCs w:val="22"/>
              </w:rPr>
              <w:t xml:space="preserve">Ukraine slightly improved from 3.4 in 2013 to 3.3 in 2016. </w:t>
            </w:r>
          </w:p>
          <w:p w14:paraId="2004E400" w14:textId="717C894E" w:rsidR="00FD465A" w:rsidRPr="00E114F2" w:rsidRDefault="00A10AE0" w:rsidP="008962E4">
            <w:pPr>
              <w:pStyle w:val="ListParagraph"/>
              <w:numPr>
                <w:ilvl w:val="1"/>
                <w:numId w:val="21"/>
              </w:numPr>
              <w:jc w:val="both"/>
              <w:rPr>
                <w:rFonts w:asciiTheme="minorHAnsi" w:eastAsia="Calibri" w:hAnsiTheme="minorHAnsi" w:cstheme="minorHAnsi"/>
                <w:sz w:val="22"/>
                <w:szCs w:val="22"/>
              </w:rPr>
            </w:pPr>
            <w:r w:rsidRPr="00E114F2">
              <w:rPr>
                <w:rFonts w:asciiTheme="minorHAnsi" w:eastAsia="Calibri" w:hAnsiTheme="minorHAnsi" w:cstheme="minorHAnsi"/>
                <w:sz w:val="22"/>
                <w:szCs w:val="22"/>
              </w:rPr>
              <w:t xml:space="preserve">According to </w:t>
            </w:r>
            <w:r w:rsidR="00B34DB4">
              <w:rPr>
                <w:rFonts w:asciiTheme="minorHAnsi" w:eastAsia="Calibri" w:hAnsiTheme="minorHAnsi" w:cstheme="minorHAnsi"/>
                <w:sz w:val="22"/>
                <w:szCs w:val="22"/>
              </w:rPr>
              <w:t xml:space="preserve">the </w:t>
            </w:r>
            <w:r w:rsidRPr="00E114F2">
              <w:rPr>
                <w:rFonts w:asciiTheme="minorHAnsi" w:eastAsia="Calibri" w:hAnsiTheme="minorHAnsi" w:cstheme="minorHAnsi"/>
                <w:sz w:val="22"/>
                <w:szCs w:val="22"/>
              </w:rPr>
              <w:t>Nations in Transit report, civil society average score has improved from 2.75 in 2013 to 2.25 in 2016, as well as democracy score from 4.86 to 4.68</w:t>
            </w:r>
            <w:r w:rsidR="00B5403F" w:rsidRPr="00E114F2">
              <w:rPr>
                <w:rFonts w:asciiTheme="minorHAnsi" w:eastAsia="Calibri" w:hAnsiTheme="minorHAnsi" w:cstheme="minorHAnsi"/>
                <w:sz w:val="22"/>
                <w:szCs w:val="22"/>
              </w:rPr>
              <w:t xml:space="preserve"> </w:t>
            </w:r>
            <w:r w:rsidR="00A520E4" w:rsidRPr="00E114F2">
              <w:rPr>
                <w:rFonts w:asciiTheme="minorHAnsi" w:eastAsia="Calibri" w:hAnsiTheme="minorHAnsi" w:cstheme="minorHAnsi"/>
                <w:sz w:val="22"/>
                <w:szCs w:val="22"/>
              </w:rPr>
              <w:t>respectively</w:t>
            </w:r>
            <w:r w:rsidRPr="00E114F2">
              <w:rPr>
                <w:rFonts w:asciiTheme="minorHAnsi" w:eastAsia="Calibri" w:hAnsiTheme="minorHAnsi" w:cstheme="minorHAnsi"/>
                <w:sz w:val="22"/>
                <w:szCs w:val="22"/>
              </w:rPr>
              <w:t>.</w:t>
            </w:r>
            <w:r w:rsidR="00FD465A" w:rsidRPr="00E114F2">
              <w:rPr>
                <w:rFonts w:asciiTheme="minorHAnsi" w:eastAsia="Calibri" w:hAnsiTheme="minorHAnsi" w:cstheme="minorHAnsi"/>
                <w:sz w:val="22"/>
                <w:szCs w:val="22"/>
              </w:rPr>
              <w:t xml:space="preserve"> </w:t>
            </w:r>
          </w:p>
          <w:p w14:paraId="2DCC1FDA" w14:textId="77777777" w:rsidR="00E114F2" w:rsidRPr="00E114F2" w:rsidRDefault="00E114F2" w:rsidP="008962E4">
            <w:pPr>
              <w:pStyle w:val="ListParagraph"/>
              <w:numPr>
                <w:ilvl w:val="1"/>
                <w:numId w:val="21"/>
              </w:numPr>
              <w:jc w:val="both"/>
              <w:rPr>
                <w:rFonts w:asciiTheme="minorHAnsi" w:hAnsiTheme="minorHAnsi" w:cstheme="minorHAnsi"/>
                <w:sz w:val="22"/>
                <w:szCs w:val="22"/>
              </w:rPr>
            </w:pPr>
            <w:r w:rsidRPr="00E114F2">
              <w:rPr>
                <w:rFonts w:asciiTheme="minorHAnsi" w:hAnsiTheme="minorHAnsi" w:cstheme="minorHAnsi"/>
                <w:sz w:val="22"/>
                <w:szCs w:val="22"/>
              </w:rPr>
              <w:t xml:space="preserve">Ukraine improved its rank in the </w:t>
            </w:r>
            <w:hyperlink r:id="rId15" w:history="1">
              <w:r w:rsidRPr="00E114F2">
                <w:rPr>
                  <w:rStyle w:val="Hyperlink"/>
                  <w:rFonts w:asciiTheme="minorHAnsi" w:hAnsiTheme="minorHAnsi" w:cstheme="minorHAnsi"/>
                  <w:sz w:val="22"/>
                  <w:szCs w:val="22"/>
                </w:rPr>
                <w:t>UN E-Government Survey</w:t>
              </w:r>
            </w:hyperlink>
            <w:r w:rsidRPr="00E114F2">
              <w:rPr>
                <w:rFonts w:asciiTheme="minorHAnsi" w:hAnsiTheme="minorHAnsi" w:cstheme="minorHAnsi"/>
                <w:sz w:val="22"/>
                <w:szCs w:val="22"/>
              </w:rPr>
              <w:t xml:space="preserve"> from 87</w:t>
            </w:r>
            <w:r w:rsidRPr="00E114F2">
              <w:rPr>
                <w:rFonts w:asciiTheme="minorHAnsi" w:hAnsiTheme="minorHAnsi" w:cstheme="minorHAnsi"/>
                <w:sz w:val="22"/>
                <w:szCs w:val="22"/>
                <w:vertAlign w:val="superscript"/>
              </w:rPr>
              <w:t>th</w:t>
            </w:r>
            <w:r w:rsidRPr="00E114F2">
              <w:rPr>
                <w:rFonts w:asciiTheme="minorHAnsi" w:hAnsiTheme="minorHAnsi" w:cstheme="minorHAnsi"/>
                <w:sz w:val="22"/>
                <w:szCs w:val="22"/>
              </w:rPr>
              <w:t xml:space="preserve"> in 2014 to 62</w:t>
            </w:r>
            <w:r w:rsidRPr="00E114F2">
              <w:rPr>
                <w:rFonts w:asciiTheme="minorHAnsi" w:hAnsiTheme="minorHAnsi" w:cstheme="minorHAnsi"/>
                <w:sz w:val="22"/>
                <w:szCs w:val="22"/>
                <w:vertAlign w:val="superscript"/>
              </w:rPr>
              <w:t>nd</w:t>
            </w:r>
            <w:r w:rsidRPr="00E114F2">
              <w:rPr>
                <w:rFonts w:asciiTheme="minorHAnsi" w:hAnsiTheme="minorHAnsi" w:cstheme="minorHAnsi"/>
                <w:sz w:val="22"/>
                <w:szCs w:val="22"/>
              </w:rPr>
              <w:t xml:space="preserve"> position in 2016</w:t>
            </w:r>
            <w:r w:rsidRPr="00E114F2">
              <w:rPr>
                <w:rFonts w:asciiTheme="minorHAnsi" w:hAnsiTheme="minorHAnsi" w:cstheme="minorHAnsi"/>
                <w:iCs/>
                <w:sz w:val="22"/>
                <w:szCs w:val="22"/>
              </w:rPr>
              <w:t xml:space="preserve"> </w:t>
            </w:r>
          </w:p>
          <w:p w14:paraId="69744D73" w14:textId="0AEEB754" w:rsidR="00E114F2" w:rsidRPr="00E114F2" w:rsidRDefault="00E114F2" w:rsidP="008962E4">
            <w:pPr>
              <w:pStyle w:val="ListParagraph"/>
              <w:numPr>
                <w:ilvl w:val="1"/>
                <w:numId w:val="21"/>
              </w:numPr>
              <w:jc w:val="both"/>
              <w:rPr>
                <w:rFonts w:asciiTheme="minorHAnsi" w:eastAsia="Calibri" w:hAnsiTheme="minorHAnsi" w:cstheme="minorHAnsi"/>
                <w:sz w:val="22"/>
                <w:szCs w:val="22"/>
              </w:rPr>
            </w:pPr>
            <w:r w:rsidRPr="00E114F2">
              <w:rPr>
                <w:rFonts w:asciiTheme="minorHAnsi" w:hAnsiTheme="minorHAnsi" w:cstheme="minorHAnsi"/>
                <w:sz w:val="22"/>
                <w:szCs w:val="22"/>
              </w:rPr>
              <w:t>Ukraine ranked 44</w:t>
            </w:r>
            <w:r w:rsidRPr="00E114F2">
              <w:rPr>
                <w:rFonts w:asciiTheme="minorHAnsi" w:hAnsiTheme="minorHAnsi" w:cstheme="minorHAnsi"/>
                <w:sz w:val="22"/>
                <w:szCs w:val="22"/>
                <w:vertAlign w:val="superscript"/>
              </w:rPr>
              <w:t>th</w:t>
            </w:r>
            <w:r w:rsidRPr="00E114F2">
              <w:rPr>
                <w:rFonts w:asciiTheme="minorHAnsi" w:hAnsiTheme="minorHAnsi" w:cstheme="minorHAnsi"/>
                <w:sz w:val="22"/>
                <w:szCs w:val="22"/>
              </w:rPr>
              <w:t xml:space="preserve"> in 2016 Open Data Barometer which is 18 positions higher than in 2015</w:t>
            </w:r>
          </w:p>
          <w:p w14:paraId="05B031FC" w14:textId="77777777" w:rsidR="000C6DA3" w:rsidRPr="003A7050" w:rsidRDefault="000C6DA3" w:rsidP="000C6DA3">
            <w:pPr>
              <w:pStyle w:val="ListParagraph"/>
              <w:ind w:left="450"/>
              <w:jc w:val="both"/>
              <w:rPr>
                <w:rFonts w:asciiTheme="minorHAnsi" w:hAnsiTheme="minorHAnsi" w:cstheme="minorHAnsi"/>
                <w:sz w:val="22"/>
                <w:szCs w:val="22"/>
              </w:rPr>
            </w:pPr>
          </w:p>
          <w:p w14:paraId="537A3C61" w14:textId="4DA2CED5" w:rsidR="000C6DA3" w:rsidRDefault="000C6DA3"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Civil society and human rights actors have increased capacity and contribute actively to respect international human rights standards</w:t>
            </w:r>
          </w:p>
          <w:p w14:paraId="136B390C" w14:textId="79E5A927" w:rsidR="000C6DA3" w:rsidRPr="002D2F1A" w:rsidRDefault="00B34DB4" w:rsidP="008962E4">
            <w:pPr>
              <w:pStyle w:val="ListParagraph"/>
              <w:numPr>
                <w:ilvl w:val="1"/>
                <w:numId w:val="21"/>
              </w:numPr>
              <w:jc w:val="both"/>
              <w:rPr>
                <w:rFonts w:asciiTheme="minorHAnsi" w:hAnsiTheme="minorHAnsi" w:cstheme="minorHAnsi"/>
                <w:sz w:val="22"/>
                <w:szCs w:val="22"/>
              </w:rPr>
            </w:pPr>
            <w:r>
              <w:rPr>
                <w:rFonts w:asciiTheme="minorHAnsi" w:hAnsiTheme="minorHAnsi" w:cstheme="minorHAnsi"/>
                <w:sz w:val="22"/>
                <w:szCs w:val="22"/>
              </w:rPr>
              <w:t>Increase in k</w:t>
            </w:r>
            <w:r w:rsidR="000C6DA3">
              <w:rPr>
                <w:rFonts w:asciiTheme="minorHAnsi" w:hAnsiTheme="minorHAnsi" w:cstheme="minorHAnsi"/>
                <w:sz w:val="22"/>
                <w:szCs w:val="22"/>
              </w:rPr>
              <w:t xml:space="preserve">nowledge of population about the Ombudsperson from 12% in 2013 to 48% in 2016, including </w:t>
            </w:r>
            <w:r w:rsidR="000C6DA3" w:rsidRPr="007D3561">
              <w:rPr>
                <w:rFonts w:asciiTheme="minorHAnsi" w:hAnsiTheme="minorHAnsi" w:cstheme="minorHAnsi"/>
                <w:sz w:val="22"/>
                <w:szCs w:val="22"/>
              </w:rPr>
              <w:t>6% knowing OO mandate very well.</w:t>
            </w:r>
            <w:r w:rsidR="000C6DA3" w:rsidRPr="002D2F1A">
              <w:rPr>
                <w:rFonts w:asciiTheme="minorHAnsi" w:hAnsiTheme="minorHAnsi" w:cstheme="minorHAnsi"/>
                <w:sz w:val="22"/>
                <w:szCs w:val="22"/>
              </w:rPr>
              <w:t xml:space="preserve"> </w:t>
            </w:r>
          </w:p>
          <w:p w14:paraId="053F4B0A" w14:textId="7A972CF5" w:rsidR="000C6DA3" w:rsidRDefault="000C6DA3" w:rsidP="008962E4">
            <w:pPr>
              <w:pStyle w:val="ListParagraph"/>
              <w:numPr>
                <w:ilvl w:val="1"/>
                <w:numId w:val="21"/>
              </w:numPr>
              <w:jc w:val="both"/>
              <w:rPr>
                <w:rFonts w:asciiTheme="minorHAnsi" w:hAnsiTheme="minorHAnsi" w:cstheme="minorHAnsi"/>
                <w:sz w:val="22"/>
                <w:szCs w:val="22"/>
              </w:rPr>
            </w:pPr>
            <w:r w:rsidRPr="002A06E6">
              <w:rPr>
                <w:rFonts w:asciiTheme="minorHAnsi" w:hAnsiTheme="minorHAnsi" w:cstheme="minorHAnsi"/>
                <w:sz w:val="22"/>
                <w:szCs w:val="22"/>
              </w:rPr>
              <w:t xml:space="preserve">5 alternative reports </w:t>
            </w:r>
            <w:r w:rsidR="00B34DB4">
              <w:rPr>
                <w:rFonts w:asciiTheme="minorHAnsi" w:hAnsiTheme="minorHAnsi" w:cstheme="minorHAnsi"/>
                <w:sz w:val="22"/>
                <w:szCs w:val="22"/>
              </w:rPr>
              <w:t xml:space="preserve">attest </w:t>
            </w:r>
            <w:r w:rsidRPr="002A06E6">
              <w:rPr>
                <w:rFonts w:asciiTheme="minorHAnsi" w:hAnsiTheme="minorHAnsi" w:cstheme="minorHAnsi"/>
                <w:sz w:val="22"/>
                <w:szCs w:val="22"/>
              </w:rPr>
              <w:t xml:space="preserve">to various international treaty bodies prepared by CSOs that allowed Ukraine to raise the human rights </w:t>
            </w:r>
            <w:r>
              <w:rPr>
                <w:rFonts w:asciiTheme="minorHAnsi" w:hAnsiTheme="minorHAnsi" w:cstheme="minorHAnsi"/>
                <w:sz w:val="22"/>
                <w:szCs w:val="22"/>
              </w:rPr>
              <w:t>agenda</w:t>
            </w:r>
            <w:r w:rsidRPr="002A06E6">
              <w:rPr>
                <w:rFonts w:asciiTheme="minorHAnsi" w:hAnsiTheme="minorHAnsi" w:cstheme="minorHAnsi"/>
                <w:sz w:val="22"/>
                <w:szCs w:val="22"/>
              </w:rPr>
              <w:t xml:space="preserve"> at </w:t>
            </w:r>
            <w:r w:rsidR="00B34DB4">
              <w:rPr>
                <w:rFonts w:asciiTheme="minorHAnsi" w:hAnsiTheme="minorHAnsi" w:cstheme="minorHAnsi"/>
                <w:sz w:val="22"/>
                <w:szCs w:val="22"/>
              </w:rPr>
              <w:t>an</w:t>
            </w:r>
            <w:r w:rsidRPr="002A06E6">
              <w:rPr>
                <w:rFonts w:asciiTheme="minorHAnsi" w:hAnsiTheme="minorHAnsi" w:cstheme="minorHAnsi"/>
                <w:sz w:val="22"/>
                <w:szCs w:val="22"/>
              </w:rPr>
              <w:t xml:space="preserve"> international level and reinforce country’s </w:t>
            </w:r>
            <w:r w:rsidR="00647BFE" w:rsidRPr="002A06E6">
              <w:rPr>
                <w:rFonts w:asciiTheme="minorHAnsi" w:hAnsiTheme="minorHAnsi" w:cstheme="minorHAnsi"/>
                <w:sz w:val="22"/>
                <w:szCs w:val="22"/>
              </w:rPr>
              <w:t>commitment</w:t>
            </w:r>
            <w:r w:rsidRPr="002A06E6">
              <w:rPr>
                <w:rFonts w:asciiTheme="minorHAnsi" w:hAnsiTheme="minorHAnsi" w:cstheme="minorHAnsi"/>
                <w:sz w:val="22"/>
                <w:szCs w:val="22"/>
              </w:rPr>
              <w:t xml:space="preserve"> to eliminate all forms of discrimination in the country</w:t>
            </w:r>
            <w:r>
              <w:rPr>
                <w:rFonts w:asciiTheme="minorHAnsi" w:hAnsiTheme="minorHAnsi" w:cstheme="minorHAnsi"/>
                <w:sz w:val="22"/>
                <w:szCs w:val="22"/>
              </w:rPr>
              <w:t>.</w:t>
            </w:r>
          </w:p>
          <w:p w14:paraId="4A795313" w14:textId="77777777" w:rsidR="001E6C1E" w:rsidRPr="001E6C1E" w:rsidRDefault="00D80A02"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The National Strategy on Human Rights and its Action Plan were developed and adopted by the Government</w:t>
            </w:r>
            <w:r w:rsidRPr="001E6C1E">
              <w:rPr>
                <w:rFonts w:asciiTheme="minorHAnsi" w:hAnsiTheme="minorHAnsi" w:cstheme="minorHAnsi"/>
                <w:sz w:val="22"/>
                <w:szCs w:val="22"/>
              </w:rPr>
              <w:t xml:space="preserve"> with direct support from the programme to include inputs of a wide variety of CSOs</w:t>
            </w:r>
          </w:p>
          <w:p w14:paraId="0C272797" w14:textId="47956234" w:rsidR="001E6C1E" w:rsidRPr="001E6C1E" w:rsidRDefault="001E6C1E" w:rsidP="008962E4">
            <w:pPr>
              <w:pStyle w:val="ListParagraph"/>
              <w:numPr>
                <w:ilvl w:val="1"/>
                <w:numId w:val="21"/>
              </w:numPr>
              <w:jc w:val="both"/>
              <w:rPr>
                <w:rFonts w:asciiTheme="minorHAnsi" w:hAnsiTheme="minorHAnsi" w:cstheme="minorHAnsi"/>
                <w:sz w:val="22"/>
                <w:szCs w:val="22"/>
              </w:rPr>
            </w:pPr>
            <w:r w:rsidRPr="001E6C1E">
              <w:rPr>
                <w:rFonts w:asciiTheme="minorHAnsi" w:hAnsiTheme="minorHAnsi" w:cstheme="minorHAnsi"/>
                <w:sz w:val="22"/>
                <w:szCs w:val="22"/>
              </w:rPr>
              <w:t xml:space="preserve">Main government policies/plans and laws </w:t>
            </w:r>
            <w:r>
              <w:rPr>
                <w:rFonts w:asciiTheme="minorHAnsi" w:hAnsiTheme="minorHAnsi" w:cstheme="minorHAnsi"/>
                <w:sz w:val="22"/>
                <w:szCs w:val="22"/>
              </w:rPr>
              <w:t xml:space="preserve">were approved/improved </w:t>
            </w:r>
            <w:r w:rsidRPr="001E6C1E">
              <w:rPr>
                <w:rFonts w:asciiTheme="minorHAnsi" w:hAnsiTheme="minorHAnsi" w:cstheme="minorHAnsi"/>
                <w:sz w:val="22"/>
                <w:szCs w:val="22"/>
              </w:rPr>
              <w:t>in compliance with the Convention to Eliminate All Forms of Discrimination Against Women (CEDAW)</w:t>
            </w:r>
            <w:r>
              <w:rPr>
                <w:rFonts w:asciiTheme="minorHAnsi" w:hAnsiTheme="minorHAnsi" w:cstheme="minorHAnsi"/>
                <w:sz w:val="22"/>
                <w:szCs w:val="22"/>
              </w:rPr>
              <w:t xml:space="preserve"> (see Annex B for details)</w:t>
            </w:r>
          </w:p>
          <w:p w14:paraId="682E71F5" w14:textId="77777777" w:rsidR="000C6DA3" w:rsidRPr="002A06E6" w:rsidRDefault="000C6DA3" w:rsidP="000C6DA3">
            <w:pPr>
              <w:pStyle w:val="ListParagraph"/>
              <w:ind w:left="810"/>
              <w:jc w:val="both"/>
              <w:rPr>
                <w:rFonts w:asciiTheme="minorHAnsi" w:hAnsiTheme="minorHAnsi" w:cstheme="minorHAnsi"/>
                <w:sz w:val="22"/>
                <w:szCs w:val="22"/>
                <w:lang w:val="da-DK"/>
              </w:rPr>
            </w:pPr>
          </w:p>
          <w:p w14:paraId="58D6AE1A" w14:textId="77777777" w:rsidR="000C6DA3" w:rsidRDefault="000C6DA3"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An improved enabling environment contributes to the realization of democratic rights and dialogue between civil society and authorities</w:t>
            </w:r>
          </w:p>
          <w:p w14:paraId="43F61497" w14:textId="0D87497D" w:rsidR="0001395F" w:rsidRDefault="0001395F" w:rsidP="008962E4">
            <w:pPr>
              <w:pStyle w:val="ListParagraph"/>
              <w:numPr>
                <w:ilvl w:val="1"/>
                <w:numId w:val="21"/>
              </w:numPr>
              <w:jc w:val="both"/>
              <w:rPr>
                <w:rFonts w:asciiTheme="minorHAnsi" w:hAnsiTheme="minorHAnsi" w:cstheme="minorHAnsi"/>
                <w:sz w:val="22"/>
                <w:szCs w:val="22"/>
              </w:rPr>
            </w:pPr>
            <w:r w:rsidRPr="0001395F">
              <w:rPr>
                <w:rFonts w:asciiTheme="minorHAnsi" w:hAnsiTheme="minorHAnsi" w:cstheme="minorHAnsi"/>
                <w:sz w:val="22"/>
                <w:szCs w:val="22"/>
              </w:rPr>
              <w:t>Legal framework</w:t>
            </w:r>
            <w:r w:rsidR="00B34DB4">
              <w:rPr>
                <w:rFonts w:asciiTheme="minorHAnsi" w:hAnsiTheme="minorHAnsi" w:cstheme="minorHAnsi"/>
                <w:sz w:val="22"/>
                <w:szCs w:val="22"/>
              </w:rPr>
              <w:t>s</w:t>
            </w:r>
            <w:r w:rsidRPr="0001395F">
              <w:rPr>
                <w:rFonts w:asciiTheme="minorHAnsi" w:hAnsiTheme="minorHAnsi" w:cstheme="minorHAnsi"/>
                <w:sz w:val="22"/>
                <w:szCs w:val="22"/>
              </w:rPr>
              <w:t xml:space="preserve"> to enable more effective, accountable and responsive public institutions</w:t>
            </w:r>
            <w:r w:rsidR="00B34DB4">
              <w:rPr>
                <w:rFonts w:asciiTheme="minorHAnsi" w:hAnsiTheme="minorHAnsi" w:cstheme="minorHAnsi"/>
                <w:sz w:val="22"/>
                <w:szCs w:val="22"/>
              </w:rPr>
              <w:t xml:space="preserve"> are put</w:t>
            </w:r>
            <w:r w:rsidRPr="0001395F">
              <w:rPr>
                <w:rFonts w:asciiTheme="minorHAnsi" w:hAnsiTheme="minorHAnsi" w:cstheme="minorHAnsi"/>
                <w:sz w:val="22"/>
                <w:szCs w:val="22"/>
              </w:rPr>
              <w:t xml:space="preserve"> in place. </w:t>
            </w:r>
            <w:r w:rsidR="00B34DB4">
              <w:rPr>
                <w:rFonts w:asciiTheme="minorHAnsi" w:hAnsiTheme="minorHAnsi" w:cstheme="minorHAnsi"/>
                <w:sz w:val="22"/>
                <w:szCs w:val="22"/>
              </w:rPr>
              <w:t>These</w:t>
            </w:r>
            <w:r w:rsidRPr="0001395F">
              <w:rPr>
                <w:rFonts w:asciiTheme="minorHAnsi" w:hAnsiTheme="minorHAnsi" w:cstheme="minorHAnsi"/>
                <w:sz w:val="22"/>
                <w:szCs w:val="22"/>
              </w:rPr>
              <w:t xml:space="preserve"> include the following legal and policy acts: (1) Law on Public Associations (2012); (2) Laws “On Foundations of Anti-Corruption Policy in Ukraine for 2014-2017” and “On Preventing Corruption” (2014), (3) Amendments to the Law of Ukraine “On Access to Public Information in the Open Data Format” (2015)</w:t>
            </w:r>
            <w:r>
              <w:rPr>
                <w:rFonts w:asciiTheme="minorHAnsi" w:hAnsiTheme="minorHAnsi" w:cstheme="minorHAnsi"/>
                <w:sz w:val="22"/>
                <w:szCs w:val="22"/>
              </w:rPr>
              <w:t>.</w:t>
            </w:r>
          </w:p>
          <w:p w14:paraId="3EE1FD14" w14:textId="3A2BF8D7" w:rsidR="000C6DA3" w:rsidRPr="0001395F" w:rsidRDefault="000C6DA3" w:rsidP="008962E4">
            <w:pPr>
              <w:pStyle w:val="ListParagraph"/>
              <w:numPr>
                <w:ilvl w:val="1"/>
                <w:numId w:val="21"/>
              </w:numPr>
              <w:jc w:val="both"/>
              <w:rPr>
                <w:rFonts w:asciiTheme="minorHAnsi" w:hAnsiTheme="minorHAnsi" w:cstheme="minorHAnsi"/>
                <w:sz w:val="22"/>
                <w:szCs w:val="22"/>
              </w:rPr>
            </w:pPr>
            <w:r w:rsidRPr="0001395F">
              <w:rPr>
                <w:rFonts w:asciiTheme="minorHAnsi" w:hAnsiTheme="minorHAnsi" w:cstheme="minorHAnsi"/>
                <w:sz w:val="22"/>
                <w:szCs w:val="22"/>
              </w:rPr>
              <w:t xml:space="preserve">Clear results-driven Government-CSO dialogue is institutionalised in the National Strategy for Facilitation of Civil Society Development (2016), and respective subnational programmes. </w:t>
            </w:r>
          </w:p>
          <w:p w14:paraId="7EB6B5BD" w14:textId="77777777" w:rsidR="000C6DA3" w:rsidRPr="00AF0BF5" w:rsidRDefault="000C6DA3" w:rsidP="008962E4">
            <w:pPr>
              <w:pStyle w:val="ListParagraph"/>
              <w:numPr>
                <w:ilvl w:val="1"/>
                <w:numId w:val="21"/>
              </w:numPr>
              <w:jc w:val="both"/>
              <w:rPr>
                <w:rFonts w:asciiTheme="minorHAnsi" w:hAnsiTheme="minorHAnsi" w:cstheme="minorHAnsi"/>
                <w:sz w:val="22"/>
                <w:szCs w:val="22"/>
              </w:rPr>
            </w:pPr>
            <w:r w:rsidRPr="00AF0BF5">
              <w:rPr>
                <w:rFonts w:asciiTheme="minorHAnsi" w:hAnsiTheme="minorHAnsi" w:cstheme="minorHAnsi"/>
                <w:sz w:val="22"/>
                <w:szCs w:val="22"/>
              </w:rPr>
              <w:t xml:space="preserve">Government – civil society cooperation </w:t>
            </w:r>
            <w:r>
              <w:rPr>
                <w:rFonts w:asciiTheme="minorHAnsi" w:hAnsiTheme="minorHAnsi" w:cstheme="minorHAnsi"/>
                <w:sz w:val="22"/>
                <w:szCs w:val="22"/>
              </w:rPr>
              <w:t xml:space="preserve">with measurable </w:t>
            </w:r>
            <w:r w:rsidRPr="00AF0BF5">
              <w:rPr>
                <w:rFonts w:asciiTheme="minorHAnsi" w:hAnsiTheme="minorHAnsi" w:cstheme="minorHAnsi"/>
                <w:sz w:val="22"/>
                <w:szCs w:val="22"/>
              </w:rPr>
              <w:t>commitments to promote transparency, empower citizens, fight corruption, and harness new technologies to strengthen governance</w:t>
            </w:r>
            <w:r>
              <w:rPr>
                <w:rFonts w:asciiTheme="minorHAnsi" w:hAnsiTheme="minorHAnsi" w:cstheme="minorHAnsi"/>
                <w:sz w:val="22"/>
                <w:szCs w:val="22"/>
              </w:rPr>
              <w:t xml:space="preserve"> are approved </w:t>
            </w:r>
            <w:r w:rsidRPr="00AF0BF5">
              <w:rPr>
                <w:rFonts w:asciiTheme="minorHAnsi" w:hAnsiTheme="minorHAnsi" w:cstheme="minorHAnsi"/>
                <w:sz w:val="22"/>
                <w:szCs w:val="22"/>
              </w:rPr>
              <w:t>in the updated Open Government Partnership National Action Plan (NAP) for 2014-2015, and in 2016 – in the NAP for 2016-2018.</w:t>
            </w:r>
          </w:p>
          <w:p w14:paraId="24D09E09" w14:textId="77777777" w:rsidR="005B25FD" w:rsidRPr="00484078" w:rsidRDefault="005B25FD" w:rsidP="00B53557">
            <w:pPr>
              <w:pStyle w:val="FootnoteText"/>
              <w:widowControl w:val="0"/>
              <w:rPr>
                <w:rFonts w:asciiTheme="minorHAnsi" w:hAnsiTheme="minorHAnsi" w:cs="Arial"/>
                <w:i/>
                <w:sz w:val="22"/>
                <w:szCs w:val="22"/>
                <w:lang w:val="en-US"/>
              </w:rPr>
            </w:pPr>
          </w:p>
          <w:p w14:paraId="2142E6BE" w14:textId="77777777" w:rsidR="00B53557" w:rsidRDefault="00B53557" w:rsidP="00B53557">
            <w:pPr>
              <w:pStyle w:val="FootnoteText"/>
              <w:widowControl w:val="0"/>
              <w:jc w:val="center"/>
              <w:rPr>
                <w:rFonts w:asciiTheme="minorHAnsi" w:hAnsiTheme="minorHAnsi"/>
                <w:sz w:val="22"/>
                <w:szCs w:val="22"/>
              </w:rPr>
            </w:pPr>
            <w:r>
              <w:rPr>
                <w:noProof/>
                <w:lang w:val="en-US" w:eastAsia="en-US"/>
              </w:rPr>
              <w:drawing>
                <wp:inline distT="0" distB="0" distL="0" distR="0" wp14:anchorId="4BD59EB9" wp14:editId="331AA975">
                  <wp:extent cx="4777192" cy="2874101"/>
                  <wp:effectExtent l="0" t="0" r="0" b="0"/>
                  <wp:docPr id="7" name="Picture 7" descr="C:\Users\Olena ursu\AppData\Local\Microsoft\Windows\INetCache\Content.Word\projec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na ursu\AppData\Local\Microsoft\Windows\INetCache\Content.Word\project map.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173"/>
                          <a:stretch/>
                        </pic:blipFill>
                        <pic:spPr bwMode="auto">
                          <a:xfrm>
                            <a:off x="0" y="0"/>
                            <a:ext cx="4784367" cy="2878418"/>
                          </a:xfrm>
                          <a:prstGeom prst="rect">
                            <a:avLst/>
                          </a:prstGeom>
                          <a:noFill/>
                          <a:ln>
                            <a:noFill/>
                          </a:ln>
                          <a:extLst>
                            <a:ext uri="{53640926-AAD7-44D8-BBD7-CCE9431645EC}">
                              <a14:shadowObscured xmlns:a14="http://schemas.microsoft.com/office/drawing/2010/main"/>
                            </a:ext>
                          </a:extLst>
                        </pic:spPr>
                      </pic:pic>
                    </a:graphicData>
                  </a:graphic>
                </wp:inline>
              </w:drawing>
            </w:r>
          </w:p>
          <w:p w14:paraId="3247A2C9" w14:textId="5AC2621C" w:rsidR="00B53557" w:rsidRPr="00005AA3" w:rsidRDefault="00B53557" w:rsidP="00B53557">
            <w:pPr>
              <w:pStyle w:val="FootnoteText"/>
              <w:widowControl w:val="0"/>
              <w:jc w:val="center"/>
              <w:rPr>
                <w:rFonts w:asciiTheme="minorHAnsi" w:hAnsiTheme="minorHAnsi"/>
                <w:i/>
              </w:rPr>
            </w:pPr>
            <w:r w:rsidRPr="00005AA3">
              <w:rPr>
                <w:rFonts w:asciiTheme="minorHAnsi" w:hAnsiTheme="minorHAnsi"/>
                <w:b/>
                <w:i/>
              </w:rPr>
              <w:t>Map 1</w:t>
            </w:r>
            <w:r w:rsidRPr="00005AA3">
              <w:rPr>
                <w:rFonts w:asciiTheme="minorHAnsi" w:hAnsiTheme="minorHAnsi"/>
                <w:i/>
              </w:rPr>
              <w:t xml:space="preserve"> – Locations of the DHRP-supported CSO projects during all years</w:t>
            </w:r>
          </w:p>
          <w:p w14:paraId="35C93A9E" w14:textId="77777777" w:rsidR="00B53557" w:rsidRDefault="00B53557" w:rsidP="00B53557">
            <w:pPr>
              <w:pStyle w:val="FootnoteText"/>
              <w:widowControl w:val="0"/>
              <w:rPr>
                <w:rFonts w:asciiTheme="minorHAnsi" w:hAnsiTheme="minorHAnsi"/>
                <w:sz w:val="22"/>
                <w:szCs w:val="22"/>
              </w:rPr>
            </w:pPr>
          </w:p>
          <w:p w14:paraId="519DDA3F" w14:textId="14FE28AA" w:rsidR="00B53557" w:rsidRDefault="00B34DB4" w:rsidP="00B53557">
            <w:pPr>
              <w:pStyle w:val="FootnoteText"/>
              <w:widowControl w:val="0"/>
              <w:rPr>
                <w:rFonts w:asciiTheme="minorHAnsi" w:hAnsiTheme="minorHAnsi"/>
                <w:sz w:val="22"/>
                <w:szCs w:val="22"/>
              </w:rPr>
            </w:pPr>
            <w:r>
              <w:rPr>
                <w:rFonts w:asciiTheme="minorHAnsi" w:hAnsiTheme="minorHAnsi"/>
                <w:sz w:val="22"/>
                <w:szCs w:val="22"/>
              </w:rPr>
              <w:t xml:space="preserve">The </w:t>
            </w:r>
            <w:r w:rsidR="00B53557" w:rsidRPr="004D5325">
              <w:rPr>
                <w:rFonts w:asciiTheme="minorHAnsi" w:hAnsiTheme="minorHAnsi"/>
                <w:sz w:val="22"/>
                <w:szCs w:val="22"/>
              </w:rPr>
              <w:t>Programme for Democratisation, Human Rights and Civil Society Development in Ukraine</w:t>
            </w:r>
            <w:r w:rsidR="00B53557">
              <w:rPr>
                <w:rFonts w:asciiTheme="minorHAnsi" w:hAnsiTheme="minorHAnsi"/>
                <w:sz w:val="22"/>
                <w:szCs w:val="22"/>
              </w:rPr>
              <w:t xml:space="preserve"> implemented by UNDP for the period of four years (January 1, 2013 to March 31, 2017) has delivered strong results in development of more inclusive and human rights-</w:t>
            </w:r>
            <w:r w:rsidR="000654E5">
              <w:rPr>
                <w:rFonts w:asciiTheme="minorHAnsi" w:hAnsiTheme="minorHAnsi"/>
                <w:sz w:val="22"/>
                <w:szCs w:val="22"/>
              </w:rPr>
              <w:t>b</w:t>
            </w:r>
            <w:r w:rsidR="00B53557">
              <w:rPr>
                <w:rFonts w:asciiTheme="minorHAnsi" w:hAnsiTheme="minorHAnsi"/>
                <w:sz w:val="22"/>
                <w:szCs w:val="22"/>
              </w:rPr>
              <w:t>ased governance on national and regional levels. The project throughout its lifespan built strong regional and local presence (the map above demonstrates the intensity of DHRP activities around Ukraine).</w:t>
            </w:r>
          </w:p>
          <w:p w14:paraId="1BB4CDC8" w14:textId="0A05AD06" w:rsidR="00B53557" w:rsidRDefault="00B53557" w:rsidP="00B53557">
            <w:pPr>
              <w:pStyle w:val="FootnoteText"/>
              <w:widowControl w:val="0"/>
              <w:rPr>
                <w:rFonts w:asciiTheme="minorHAnsi" w:hAnsiTheme="minorHAnsi"/>
                <w:sz w:val="22"/>
                <w:szCs w:val="22"/>
              </w:rPr>
            </w:pPr>
          </w:p>
          <w:p w14:paraId="7002B29B" w14:textId="551996DA" w:rsidR="00B53557" w:rsidRDefault="00B53557" w:rsidP="00B53557">
            <w:pPr>
              <w:pStyle w:val="FootnoteText"/>
              <w:widowControl w:val="0"/>
              <w:rPr>
                <w:rFonts w:asciiTheme="minorHAnsi" w:hAnsiTheme="minorHAnsi"/>
                <w:sz w:val="22"/>
                <w:szCs w:val="22"/>
              </w:rPr>
            </w:pPr>
            <w:r>
              <w:rPr>
                <w:rFonts w:asciiTheme="minorHAnsi" w:hAnsiTheme="minorHAnsi"/>
                <w:sz w:val="22"/>
                <w:szCs w:val="22"/>
              </w:rPr>
              <w:t>As noted in external evaluations and project reviews, DHRP performed at high levels of efficiency and effectiveness across all areas and was very successful in strengthening the capacities of both the Government and civil society in Ukraine. The programme was ground-breaking in its ability to be one of the first-responders to the changing political situation in the country and laid foundation for multiple UNDP and other donor</w:t>
            </w:r>
            <w:r w:rsidR="0066763F">
              <w:rPr>
                <w:rFonts w:asciiTheme="minorHAnsi" w:hAnsiTheme="minorHAnsi"/>
                <w:sz w:val="22"/>
                <w:szCs w:val="22"/>
              </w:rPr>
              <w:t xml:space="preserve"> funded</w:t>
            </w:r>
            <w:r>
              <w:rPr>
                <w:rFonts w:asciiTheme="minorHAnsi" w:hAnsiTheme="minorHAnsi"/>
                <w:sz w:val="22"/>
                <w:szCs w:val="22"/>
              </w:rPr>
              <w:t xml:space="preserve"> projects in Ukraine</w:t>
            </w:r>
            <w:r w:rsidR="00B65955">
              <w:rPr>
                <w:rFonts w:asciiTheme="minorHAnsi" w:hAnsiTheme="minorHAnsi"/>
                <w:sz w:val="22"/>
                <w:szCs w:val="22"/>
              </w:rPr>
              <w:t xml:space="preserve"> (see more details in the Final Evalution Report of DHRP in the Annex 5)</w:t>
            </w:r>
            <w:r>
              <w:rPr>
                <w:rFonts w:asciiTheme="minorHAnsi" w:hAnsiTheme="minorHAnsi"/>
                <w:sz w:val="22"/>
                <w:szCs w:val="22"/>
              </w:rPr>
              <w:t xml:space="preserve">. </w:t>
            </w:r>
          </w:p>
          <w:p w14:paraId="00A33151" w14:textId="672A2DC8" w:rsidR="00B53557" w:rsidRDefault="00B53557" w:rsidP="00B53557">
            <w:pPr>
              <w:pStyle w:val="FootnoteText"/>
              <w:widowControl w:val="0"/>
              <w:rPr>
                <w:rFonts w:asciiTheme="minorHAnsi" w:hAnsiTheme="minorHAnsi"/>
                <w:sz w:val="22"/>
                <w:szCs w:val="22"/>
              </w:rPr>
            </w:pPr>
          </w:p>
          <w:p w14:paraId="4290B4A3" w14:textId="77777777" w:rsidR="00542FE9" w:rsidRDefault="00542FE9" w:rsidP="00542FE9">
            <w:pPr>
              <w:spacing w:after="120"/>
              <w:jc w:val="both"/>
              <w:rPr>
                <w:rFonts w:ascii="Calibri" w:hAnsi="Calibri"/>
                <w:b/>
                <w:i/>
                <w:sz w:val="22"/>
                <w:szCs w:val="22"/>
              </w:rPr>
            </w:pPr>
            <w:r w:rsidRPr="00EF24AF">
              <w:rPr>
                <w:rFonts w:ascii="Calibri" w:hAnsi="Calibri"/>
                <w:b/>
                <w:i/>
                <w:sz w:val="22"/>
                <w:szCs w:val="22"/>
              </w:rPr>
              <w:t>Key areas of progress achieved:</w:t>
            </w:r>
          </w:p>
          <w:p w14:paraId="446EB206" w14:textId="158CCE57" w:rsidR="00542FE9" w:rsidRDefault="00542FE9"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 xml:space="preserve">Civil society has increased </w:t>
            </w:r>
            <w:r w:rsidR="0066763F">
              <w:rPr>
                <w:rFonts w:asciiTheme="minorHAnsi" w:hAnsiTheme="minorHAnsi" w:cstheme="minorHAnsi"/>
                <w:sz w:val="22"/>
                <w:szCs w:val="22"/>
              </w:rPr>
              <w:t>capacities</w:t>
            </w:r>
            <w:r w:rsidRPr="003A7050">
              <w:rPr>
                <w:rFonts w:asciiTheme="minorHAnsi" w:hAnsiTheme="minorHAnsi" w:cstheme="minorHAnsi"/>
                <w:sz w:val="22"/>
                <w:szCs w:val="22"/>
              </w:rPr>
              <w:t xml:space="preserve"> and contributes to the democratic processes</w:t>
            </w:r>
          </w:p>
          <w:p w14:paraId="65B05DBA" w14:textId="7FA8FEE7" w:rsidR="00542FE9" w:rsidRPr="003623CD" w:rsidRDefault="00542FE9" w:rsidP="008962E4">
            <w:pPr>
              <w:pStyle w:val="ListParagraph"/>
              <w:numPr>
                <w:ilvl w:val="1"/>
                <w:numId w:val="21"/>
              </w:numPr>
              <w:jc w:val="both"/>
              <w:rPr>
                <w:rFonts w:asciiTheme="minorHAnsi" w:hAnsiTheme="minorHAnsi" w:cstheme="minorHAnsi"/>
                <w:sz w:val="22"/>
                <w:szCs w:val="22"/>
              </w:rPr>
            </w:pPr>
            <w:r w:rsidRPr="003623CD">
              <w:rPr>
                <w:rFonts w:asciiTheme="minorHAnsi" w:hAnsiTheme="minorHAnsi"/>
                <w:sz w:val="22"/>
                <w:szCs w:val="22"/>
              </w:rPr>
              <w:t>8 mid</w:t>
            </w:r>
            <w:r w:rsidRPr="003623CD">
              <w:rPr>
                <w:rFonts w:asciiTheme="minorHAnsi" w:hAnsiTheme="minorHAnsi" w:cstheme="minorHAnsi"/>
                <w:sz w:val="22"/>
                <w:szCs w:val="22"/>
              </w:rPr>
              <w:t>-size regional CSO hubs serve as capacity-building hubs in the area of good governance and human rights</w:t>
            </w:r>
            <w:r w:rsidR="003623CD" w:rsidRPr="003623CD">
              <w:rPr>
                <w:rFonts w:asciiTheme="minorHAnsi" w:hAnsiTheme="minorHAnsi" w:cstheme="minorHAnsi"/>
                <w:sz w:val="22"/>
                <w:szCs w:val="22"/>
              </w:rPr>
              <w:t xml:space="preserve">. </w:t>
            </w:r>
            <w:r w:rsidR="003623CD" w:rsidRPr="003623CD">
              <w:rPr>
                <w:rFonts w:asciiTheme="minorHAnsi" w:eastAsia="Calibri" w:hAnsiTheme="minorHAnsi" w:cstheme="minorHAnsi"/>
                <w:sz w:val="22"/>
                <w:szCs w:val="22"/>
              </w:rPr>
              <w:t>Final capacity assessment report of the CSO hubs (2016) showed the following improvement of all organisations in 2016 as compared to 2013: democratic governance from 2.6 to 3.9, membership, volunteering, constituency from 3.0 to 3.6, financial sustainability from 2.7 to 3.7, and advocacy from 3.2 to 4.0.</w:t>
            </w:r>
          </w:p>
          <w:p w14:paraId="3A08A8B3" w14:textId="66387153" w:rsidR="00542FE9" w:rsidRPr="00B826FC"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Over 2,600 participants from all sectors (government, CSOs, volunteers, journalists) </w:t>
            </w:r>
            <w:r w:rsidR="00EB0A8D" w:rsidRPr="005C29CF">
              <w:rPr>
                <w:rFonts w:asciiTheme="minorHAnsi" w:hAnsiTheme="minorHAnsi" w:cstheme="minorHAnsi"/>
                <w:sz w:val="22"/>
                <w:szCs w:val="22"/>
              </w:rPr>
              <w:t>strengthened</w:t>
            </w:r>
            <w:r w:rsidRPr="005C29CF">
              <w:rPr>
                <w:rFonts w:asciiTheme="minorHAnsi" w:hAnsiTheme="minorHAnsi" w:cstheme="minorHAnsi"/>
                <w:sz w:val="22"/>
                <w:szCs w:val="22"/>
              </w:rPr>
              <w:t xml:space="preserve"> or built skills</w:t>
            </w:r>
            <w:r>
              <w:rPr>
                <w:rFonts w:asciiTheme="minorHAnsi" w:hAnsiTheme="minorHAnsi"/>
                <w:sz w:val="22"/>
                <w:szCs w:val="22"/>
              </w:rPr>
              <w:t xml:space="preserve"> to promote inclusive and democratic governance in Ukraine</w:t>
            </w:r>
            <w:r w:rsidR="00D5008A">
              <w:rPr>
                <w:rFonts w:asciiTheme="minorHAnsi" w:hAnsiTheme="minorHAnsi"/>
                <w:sz w:val="22"/>
                <w:szCs w:val="22"/>
              </w:rPr>
              <w:t xml:space="preserve">, including </w:t>
            </w:r>
            <w:r w:rsidR="00D5008A" w:rsidRPr="00B826FC">
              <w:rPr>
                <w:rFonts w:asciiTheme="minorHAnsi" w:hAnsiTheme="minorHAnsi" w:cstheme="minorHAnsi"/>
                <w:sz w:val="22"/>
                <w:szCs w:val="22"/>
              </w:rPr>
              <w:t>about 65% female, 35% male</w:t>
            </w:r>
          </w:p>
          <w:p w14:paraId="1FC5AD33" w14:textId="185561B6" w:rsidR="008962E4" w:rsidRPr="00CF23F1" w:rsidRDefault="008962E4" w:rsidP="00D5601D">
            <w:pPr>
              <w:pStyle w:val="ListParagraph"/>
              <w:numPr>
                <w:ilvl w:val="1"/>
                <w:numId w:val="21"/>
              </w:numPr>
              <w:jc w:val="both"/>
              <w:rPr>
                <w:rFonts w:ascii="Calibri" w:hAnsi="Calibri"/>
                <w:color w:val="000000"/>
                <w:sz w:val="22"/>
                <w:szCs w:val="22"/>
                <w:lang w:val="en-US" w:eastAsia="en-US"/>
              </w:rPr>
            </w:pPr>
            <w:r w:rsidRPr="00CF23F1">
              <w:rPr>
                <w:rFonts w:asciiTheme="minorHAnsi" w:hAnsiTheme="minorHAnsi" w:cstheme="minorHAnsi"/>
                <w:sz w:val="22"/>
                <w:szCs w:val="22"/>
              </w:rPr>
              <w:t xml:space="preserve">76 successfully implemented CSO projects, including 29 direct CSO grantees and 47 initiatives supported through re-granting facilities (by ISAR, CCC and Zakarpattya hub) in the following thematic areas: democratization (openness, transparency, accountability, anti-corruption), free legal aid provision, and advancing democratic reforms with civic participation. There projects benefited about </w:t>
            </w:r>
            <w:r w:rsidR="005803A5" w:rsidRPr="00CF23F1">
              <w:rPr>
                <w:rFonts w:asciiTheme="minorHAnsi" w:hAnsiTheme="minorHAnsi" w:cstheme="minorHAnsi"/>
                <w:sz w:val="22"/>
                <w:szCs w:val="22"/>
              </w:rPr>
              <w:t>23</w:t>
            </w:r>
            <w:r w:rsidR="00982BE0" w:rsidRPr="00CF23F1">
              <w:rPr>
                <w:rFonts w:asciiTheme="minorHAnsi" w:hAnsiTheme="minorHAnsi" w:cstheme="minorHAnsi"/>
                <w:sz w:val="22"/>
                <w:szCs w:val="22"/>
              </w:rPr>
              <w:t>’</w:t>
            </w:r>
            <w:r w:rsidR="005803A5" w:rsidRPr="00CF23F1">
              <w:rPr>
                <w:rFonts w:asciiTheme="minorHAnsi" w:hAnsiTheme="minorHAnsi" w:cstheme="minorHAnsi"/>
                <w:sz w:val="22"/>
                <w:szCs w:val="22"/>
              </w:rPr>
              <w:t>761</w:t>
            </w:r>
            <w:r w:rsidR="00982BE0" w:rsidRPr="00CF23F1">
              <w:rPr>
                <w:rFonts w:asciiTheme="minorHAnsi" w:hAnsiTheme="minorHAnsi" w:cstheme="minorHAnsi"/>
                <w:sz w:val="22"/>
                <w:szCs w:val="22"/>
              </w:rPr>
              <w:t xml:space="preserve"> </w:t>
            </w:r>
            <w:r w:rsidRPr="00CF23F1">
              <w:rPr>
                <w:rFonts w:asciiTheme="minorHAnsi" w:hAnsiTheme="minorHAnsi" w:cstheme="minorHAnsi"/>
                <w:sz w:val="22"/>
                <w:szCs w:val="22"/>
              </w:rPr>
              <w:t>citizens (</w:t>
            </w:r>
            <w:r w:rsidR="00982BE0" w:rsidRPr="00CF23F1">
              <w:rPr>
                <w:rFonts w:asciiTheme="minorHAnsi" w:hAnsiTheme="minorHAnsi" w:cstheme="minorHAnsi"/>
                <w:sz w:val="22"/>
                <w:szCs w:val="22"/>
              </w:rPr>
              <w:t xml:space="preserve">15’445 </w:t>
            </w:r>
            <w:r w:rsidRPr="00CF23F1">
              <w:rPr>
                <w:rFonts w:asciiTheme="minorHAnsi" w:hAnsiTheme="minorHAnsi" w:cstheme="minorHAnsi"/>
                <w:sz w:val="22"/>
                <w:szCs w:val="22"/>
              </w:rPr>
              <w:t xml:space="preserve">female, </w:t>
            </w:r>
            <w:r w:rsidR="00982BE0" w:rsidRPr="00CF23F1">
              <w:rPr>
                <w:rFonts w:asciiTheme="minorHAnsi" w:hAnsiTheme="minorHAnsi" w:cstheme="minorHAnsi"/>
                <w:sz w:val="22"/>
                <w:szCs w:val="22"/>
              </w:rPr>
              <w:t xml:space="preserve">8’316 </w:t>
            </w:r>
            <w:r w:rsidRPr="00CF23F1">
              <w:rPr>
                <w:rFonts w:asciiTheme="minorHAnsi" w:hAnsiTheme="minorHAnsi" w:cstheme="minorHAnsi"/>
                <w:sz w:val="22"/>
                <w:szCs w:val="22"/>
              </w:rPr>
              <w:t>male). Together with the CSO projects</w:t>
            </w:r>
            <w:r w:rsidR="00CF23F1" w:rsidRPr="00CF23F1">
              <w:rPr>
                <w:rFonts w:asciiTheme="minorHAnsi" w:hAnsiTheme="minorHAnsi" w:cstheme="minorHAnsi"/>
                <w:sz w:val="22"/>
                <w:szCs w:val="22"/>
              </w:rPr>
              <w:t xml:space="preserve"> on human rights</w:t>
            </w:r>
            <w:r w:rsidRPr="00CF23F1">
              <w:rPr>
                <w:rFonts w:asciiTheme="minorHAnsi" w:hAnsiTheme="minorHAnsi" w:cstheme="minorHAnsi"/>
                <w:sz w:val="22"/>
                <w:szCs w:val="22"/>
              </w:rPr>
              <w:t>, the total number is 140</w:t>
            </w:r>
            <w:r w:rsidR="00CF23F1" w:rsidRPr="00CF23F1">
              <w:rPr>
                <w:rFonts w:asciiTheme="minorHAnsi" w:hAnsiTheme="minorHAnsi" w:cstheme="minorHAnsi"/>
                <w:sz w:val="22"/>
                <w:szCs w:val="22"/>
              </w:rPr>
              <w:t>, and the total number of beneficiaries is 37’124</w:t>
            </w:r>
            <w:r w:rsidRPr="00CF23F1">
              <w:rPr>
                <w:rFonts w:asciiTheme="minorHAnsi" w:hAnsiTheme="minorHAnsi" w:cstheme="minorHAnsi"/>
                <w:sz w:val="22"/>
                <w:szCs w:val="22"/>
              </w:rPr>
              <w:t xml:space="preserve">. </w:t>
            </w:r>
          </w:p>
          <w:p w14:paraId="26AED472" w14:textId="5108FDD4" w:rsidR="00542FE9" w:rsidRPr="005C29CF" w:rsidRDefault="008962E4" w:rsidP="008962E4">
            <w:pPr>
              <w:pStyle w:val="ListParagraph"/>
              <w:numPr>
                <w:ilvl w:val="1"/>
                <w:numId w:val="21"/>
              </w:numPr>
              <w:jc w:val="both"/>
              <w:rPr>
                <w:rFonts w:asciiTheme="minorHAnsi" w:hAnsiTheme="minorHAnsi" w:cstheme="minorHAnsi"/>
                <w:sz w:val="22"/>
                <w:szCs w:val="22"/>
              </w:rPr>
            </w:pPr>
            <w:r>
              <w:rPr>
                <w:rFonts w:asciiTheme="minorHAnsi" w:hAnsiTheme="minorHAnsi" w:cstheme="minorHAnsi"/>
                <w:sz w:val="22"/>
                <w:szCs w:val="22"/>
              </w:rPr>
              <w:t>Op</w:t>
            </w:r>
            <w:r w:rsidR="00542FE9" w:rsidRPr="005C29CF">
              <w:rPr>
                <w:rFonts w:asciiTheme="minorHAnsi" w:hAnsiTheme="minorHAnsi" w:cstheme="minorHAnsi"/>
                <w:sz w:val="22"/>
                <w:szCs w:val="22"/>
              </w:rPr>
              <w:t xml:space="preserve">en data legislation developed by RPR group under UNDP support </w:t>
            </w:r>
            <w:r w:rsidR="0066763F">
              <w:rPr>
                <w:rFonts w:asciiTheme="minorHAnsi" w:hAnsiTheme="minorHAnsi" w:cstheme="minorHAnsi"/>
                <w:sz w:val="22"/>
                <w:szCs w:val="22"/>
              </w:rPr>
              <w:t>was</w:t>
            </w:r>
            <w:r w:rsidR="00542FE9" w:rsidRPr="005C29CF">
              <w:rPr>
                <w:rFonts w:asciiTheme="minorHAnsi" w:hAnsiTheme="minorHAnsi" w:cstheme="minorHAnsi"/>
                <w:sz w:val="22"/>
                <w:szCs w:val="22"/>
              </w:rPr>
              <w:t xml:space="preserve"> approved to create further environment</w:t>
            </w:r>
            <w:r w:rsidR="0066763F">
              <w:rPr>
                <w:rFonts w:asciiTheme="minorHAnsi" w:hAnsiTheme="minorHAnsi" w:cstheme="minorHAnsi"/>
                <w:sz w:val="22"/>
                <w:szCs w:val="22"/>
              </w:rPr>
              <w:t>s</w:t>
            </w:r>
            <w:r w:rsidR="00542FE9" w:rsidRPr="005C29CF">
              <w:rPr>
                <w:rFonts w:asciiTheme="minorHAnsi" w:hAnsiTheme="minorHAnsi" w:cstheme="minorHAnsi"/>
                <w:sz w:val="22"/>
                <w:szCs w:val="22"/>
              </w:rPr>
              <w:t xml:space="preserve"> </w:t>
            </w:r>
            <w:r w:rsidR="0066763F">
              <w:rPr>
                <w:rFonts w:asciiTheme="minorHAnsi" w:hAnsiTheme="minorHAnsi" w:cstheme="minorHAnsi"/>
                <w:sz w:val="22"/>
                <w:szCs w:val="22"/>
              </w:rPr>
              <w:t>to further</w:t>
            </w:r>
            <w:r w:rsidR="00542FE9" w:rsidRPr="005C29CF">
              <w:rPr>
                <w:rFonts w:asciiTheme="minorHAnsi" w:hAnsiTheme="minorHAnsi" w:cstheme="minorHAnsi"/>
                <w:sz w:val="22"/>
                <w:szCs w:val="22"/>
              </w:rPr>
              <w:t xml:space="preserve"> the open data development in Ukraine </w:t>
            </w:r>
          </w:p>
          <w:p w14:paraId="1C18E744" w14:textId="77777777" w:rsidR="00542FE9" w:rsidRPr="005C29CF" w:rsidRDefault="00542FE9" w:rsidP="00542FE9">
            <w:pPr>
              <w:pStyle w:val="ListParagraph"/>
              <w:ind w:left="810"/>
              <w:jc w:val="both"/>
              <w:rPr>
                <w:rFonts w:cs="Times New Roman"/>
              </w:rPr>
            </w:pPr>
          </w:p>
          <w:p w14:paraId="026CEAFB" w14:textId="45C474DF" w:rsidR="00542FE9" w:rsidRDefault="00542FE9"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Civil society and human rights actors have increased capacit</w:t>
            </w:r>
            <w:r w:rsidR="0066763F">
              <w:rPr>
                <w:rFonts w:asciiTheme="minorHAnsi" w:hAnsiTheme="minorHAnsi" w:cstheme="minorHAnsi"/>
                <w:sz w:val="22"/>
                <w:szCs w:val="22"/>
              </w:rPr>
              <w:t>ies</w:t>
            </w:r>
            <w:r w:rsidRPr="003A7050">
              <w:rPr>
                <w:rFonts w:asciiTheme="minorHAnsi" w:hAnsiTheme="minorHAnsi" w:cstheme="minorHAnsi"/>
                <w:sz w:val="22"/>
                <w:szCs w:val="22"/>
              </w:rPr>
              <w:t xml:space="preserve"> and contribute actively to respect  international human rights standards</w:t>
            </w:r>
          </w:p>
          <w:p w14:paraId="277F5968" w14:textId="56F0789E" w:rsidR="00542FE9" w:rsidRDefault="00542FE9" w:rsidP="008962E4">
            <w:pPr>
              <w:pStyle w:val="ListParagraph"/>
              <w:numPr>
                <w:ilvl w:val="1"/>
                <w:numId w:val="21"/>
              </w:numPr>
              <w:jc w:val="both"/>
              <w:rPr>
                <w:rFonts w:asciiTheme="minorHAnsi" w:hAnsiTheme="minorHAnsi" w:cstheme="minorHAnsi"/>
                <w:sz w:val="22"/>
                <w:szCs w:val="22"/>
              </w:rPr>
            </w:pPr>
            <w:r>
              <w:rPr>
                <w:rFonts w:asciiTheme="minorHAnsi" w:hAnsiTheme="minorHAnsi"/>
                <w:sz w:val="22"/>
                <w:szCs w:val="22"/>
              </w:rPr>
              <w:t xml:space="preserve">5 </w:t>
            </w:r>
            <w:r w:rsidRPr="005C29CF">
              <w:rPr>
                <w:rFonts w:asciiTheme="minorHAnsi" w:hAnsiTheme="minorHAnsi" w:cstheme="minorHAnsi"/>
                <w:sz w:val="22"/>
                <w:szCs w:val="22"/>
              </w:rPr>
              <w:t>coalitions and informal civil society networks</w:t>
            </w:r>
            <w:r w:rsidR="00BC7D1B">
              <w:rPr>
                <w:rFonts w:asciiTheme="minorHAnsi" w:hAnsiTheme="minorHAnsi" w:cstheme="minorHAnsi"/>
                <w:sz w:val="22"/>
                <w:szCs w:val="22"/>
              </w:rPr>
              <w:t xml:space="preserve"> were</w:t>
            </w:r>
            <w:r w:rsidRPr="005C29CF">
              <w:rPr>
                <w:rFonts w:asciiTheme="minorHAnsi" w:hAnsiTheme="minorHAnsi" w:cstheme="minorHAnsi"/>
                <w:sz w:val="22"/>
                <w:szCs w:val="22"/>
              </w:rPr>
              <w:t xml:space="preserve"> established, enabling synergy and mentorship between the members</w:t>
            </w:r>
          </w:p>
          <w:p w14:paraId="7136A08C" w14:textId="38C0CFDE" w:rsidR="008962E4" w:rsidRPr="00CF23F1" w:rsidRDefault="008962E4" w:rsidP="00CF23F1">
            <w:pPr>
              <w:pStyle w:val="ListParagraph"/>
              <w:numPr>
                <w:ilvl w:val="1"/>
                <w:numId w:val="21"/>
              </w:numPr>
              <w:jc w:val="both"/>
              <w:rPr>
                <w:rFonts w:ascii="Calibri" w:hAnsi="Calibri"/>
                <w:color w:val="000000"/>
                <w:sz w:val="22"/>
                <w:szCs w:val="22"/>
                <w:lang w:val="en-US" w:eastAsia="en-US"/>
              </w:rPr>
            </w:pPr>
            <w:r w:rsidRPr="008962E4">
              <w:rPr>
                <w:rFonts w:asciiTheme="minorHAnsi" w:hAnsiTheme="minorHAnsi" w:cstheme="minorHAnsi"/>
                <w:sz w:val="22"/>
                <w:szCs w:val="22"/>
              </w:rPr>
              <w:t>64 successfully implemented CSO projects, includin</w:t>
            </w:r>
            <w:r w:rsidR="002F4792">
              <w:rPr>
                <w:rFonts w:asciiTheme="minorHAnsi" w:hAnsiTheme="minorHAnsi" w:cstheme="minorHAnsi"/>
                <w:sz w:val="22"/>
                <w:szCs w:val="22"/>
              </w:rPr>
              <w:t>g 53 direct CSO grantees and 11</w:t>
            </w:r>
            <w:r w:rsidRPr="008962E4">
              <w:rPr>
                <w:rFonts w:asciiTheme="minorHAnsi" w:hAnsiTheme="minorHAnsi" w:cstheme="minorHAnsi"/>
                <w:sz w:val="22"/>
                <w:szCs w:val="22"/>
              </w:rPr>
              <w:t xml:space="preserve"> initiatives supported through re-granting facilities in the area of human rights, including addressing new human rights challenges caused by the conflict (AR Crimea, Donbas, IDPs), strategic litigation, and outreach to international human rights mechanisms. There projects benefited about </w:t>
            </w:r>
            <w:r w:rsidR="00443740">
              <w:rPr>
                <w:rFonts w:asciiTheme="minorHAnsi" w:hAnsiTheme="minorHAnsi" w:cstheme="minorHAnsi"/>
                <w:sz w:val="22"/>
                <w:szCs w:val="22"/>
              </w:rPr>
              <w:t>13</w:t>
            </w:r>
            <w:r w:rsidR="00982BE0">
              <w:rPr>
                <w:rFonts w:asciiTheme="minorHAnsi" w:hAnsiTheme="minorHAnsi" w:cstheme="minorHAnsi"/>
                <w:sz w:val="22"/>
                <w:szCs w:val="22"/>
              </w:rPr>
              <w:t>’</w:t>
            </w:r>
            <w:r w:rsidR="00443740">
              <w:rPr>
                <w:rFonts w:asciiTheme="minorHAnsi" w:hAnsiTheme="minorHAnsi" w:cstheme="minorHAnsi"/>
                <w:sz w:val="22"/>
                <w:szCs w:val="22"/>
              </w:rPr>
              <w:t>363</w:t>
            </w:r>
            <w:r w:rsidRPr="008962E4">
              <w:rPr>
                <w:rFonts w:asciiTheme="minorHAnsi" w:hAnsiTheme="minorHAnsi" w:cstheme="minorHAnsi"/>
                <w:sz w:val="22"/>
                <w:szCs w:val="22"/>
              </w:rPr>
              <w:t xml:space="preserve"> </w:t>
            </w:r>
            <w:r w:rsidR="002F4792">
              <w:rPr>
                <w:rFonts w:asciiTheme="minorHAnsi" w:hAnsiTheme="minorHAnsi" w:cstheme="minorHAnsi"/>
                <w:sz w:val="22"/>
                <w:szCs w:val="22"/>
              </w:rPr>
              <w:t>citizens (</w:t>
            </w:r>
            <w:r w:rsidR="00443740">
              <w:rPr>
                <w:rFonts w:asciiTheme="minorHAnsi" w:hAnsiTheme="minorHAnsi" w:cstheme="minorHAnsi"/>
                <w:sz w:val="22"/>
                <w:szCs w:val="22"/>
              </w:rPr>
              <w:t>8</w:t>
            </w:r>
            <w:r w:rsidR="00982BE0">
              <w:rPr>
                <w:rFonts w:asciiTheme="minorHAnsi" w:hAnsiTheme="minorHAnsi" w:cstheme="minorHAnsi"/>
                <w:sz w:val="22"/>
                <w:szCs w:val="22"/>
              </w:rPr>
              <w:t>’</w:t>
            </w:r>
            <w:r w:rsidR="00443740">
              <w:rPr>
                <w:rFonts w:asciiTheme="minorHAnsi" w:hAnsiTheme="minorHAnsi" w:cstheme="minorHAnsi"/>
                <w:sz w:val="22"/>
                <w:szCs w:val="22"/>
              </w:rPr>
              <w:t>686</w:t>
            </w:r>
            <w:r w:rsidR="002F4792">
              <w:rPr>
                <w:rFonts w:asciiTheme="minorHAnsi" w:hAnsiTheme="minorHAnsi" w:cstheme="minorHAnsi"/>
                <w:sz w:val="22"/>
                <w:szCs w:val="22"/>
              </w:rPr>
              <w:t xml:space="preserve"> female, </w:t>
            </w:r>
            <w:r w:rsidR="00443740">
              <w:rPr>
                <w:rFonts w:asciiTheme="minorHAnsi" w:hAnsiTheme="minorHAnsi" w:cstheme="minorHAnsi"/>
                <w:sz w:val="22"/>
                <w:szCs w:val="22"/>
              </w:rPr>
              <w:t>4</w:t>
            </w:r>
            <w:r w:rsidR="00982BE0">
              <w:rPr>
                <w:rFonts w:asciiTheme="minorHAnsi" w:hAnsiTheme="minorHAnsi" w:cstheme="minorHAnsi"/>
                <w:sz w:val="22"/>
                <w:szCs w:val="22"/>
              </w:rPr>
              <w:t>’</w:t>
            </w:r>
            <w:r w:rsidR="00443740">
              <w:rPr>
                <w:rFonts w:asciiTheme="minorHAnsi" w:hAnsiTheme="minorHAnsi" w:cstheme="minorHAnsi"/>
                <w:sz w:val="22"/>
                <w:szCs w:val="22"/>
              </w:rPr>
              <w:t>677</w:t>
            </w:r>
            <w:r w:rsidR="002F4792">
              <w:rPr>
                <w:rFonts w:asciiTheme="minorHAnsi" w:hAnsiTheme="minorHAnsi" w:cstheme="minorHAnsi"/>
                <w:sz w:val="22"/>
                <w:szCs w:val="22"/>
              </w:rPr>
              <w:t xml:space="preserve"> male). Together with the CSO projects</w:t>
            </w:r>
            <w:r w:rsidR="00CF23F1">
              <w:rPr>
                <w:rFonts w:asciiTheme="minorHAnsi" w:hAnsiTheme="minorHAnsi" w:cstheme="minorHAnsi"/>
                <w:sz w:val="22"/>
                <w:szCs w:val="22"/>
              </w:rPr>
              <w:t xml:space="preserve"> on democratization</w:t>
            </w:r>
            <w:r w:rsidR="002F4792">
              <w:rPr>
                <w:rFonts w:asciiTheme="minorHAnsi" w:hAnsiTheme="minorHAnsi" w:cstheme="minorHAnsi"/>
                <w:sz w:val="22"/>
                <w:szCs w:val="22"/>
              </w:rPr>
              <w:t xml:space="preserve">, the total </w:t>
            </w:r>
            <w:r w:rsidR="00CF23F1">
              <w:rPr>
                <w:rFonts w:asciiTheme="minorHAnsi" w:hAnsiTheme="minorHAnsi" w:cstheme="minorHAnsi"/>
                <w:sz w:val="22"/>
                <w:szCs w:val="22"/>
              </w:rPr>
              <w:t xml:space="preserve">number is 140, </w:t>
            </w:r>
            <w:r w:rsidR="00CF23F1" w:rsidRPr="00CF23F1">
              <w:rPr>
                <w:rFonts w:asciiTheme="minorHAnsi" w:hAnsiTheme="minorHAnsi" w:cstheme="minorHAnsi"/>
                <w:sz w:val="22"/>
                <w:szCs w:val="22"/>
              </w:rPr>
              <w:t xml:space="preserve">and the total number of beneficiaries is 37’124. </w:t>
            </w:r>
          </w:p>
          <w:p w14:paraId="16AB89BB" w14:textId="35DE5785" w:rsidR="00542FE9"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Ombudsperson’s presence extended into 12 regions allowing more people in the regions to protect their rights; knowledge of population about the </w:t>
            </w:r>
            <w:r w:rsidR="00384395">
              <w:rPr>
                <w:rFonts w:asciiTheme="minorHAnsi" w:hAnsiTheme="minorHAnsi" w:cstheme="minorHAnsi"/>
                <w:sz w:val="22"/>
                <w:szCs w:val="22"/>
              </w:rPr>
              <w:t xml:space="preserve">Ombudsperson’s </w:t>
            </w:r>
            <w:r w:rsidR="00802EC5">
              <w:rPr>
                <w:rFonts w:asciiTheme="minorHAnsi" w:hAnsiTheme="minorHAnsi" w:cstheme="minorHAnsi"/>
                <w:sz w:val="22"/>
                <w:szCs w:val="22"/>
              </w:rPr>
              <w:t>Office</w:t>
            </w:r>
            <w:r w:rsidRPr="005C29CF">
              <w:rPr>
                <w:rFonts w:asciiTheme="minorHAnsi" w:hAnsiTheme="minorHAnsi" w:cstheme="minorHAnsi"/>
                <w:sz w:val="22"/>
                <w:szCs w:val="22"/>
              </w:rPr>
              <w:t xml:space="preserve"> increased from 12% to 48% over the project period </w:t>
            </w:r>
          </w:p>
          <w:p w14:paraId="0662C44D" w14:textId="1E158AFE" w:rsidR="00C22D64" w:rsidRDefault="00C22D64" w:rsidP="008962E4">
            <w:pPr>
              <w:pStyle w:val="ListParagraph"/>
              <w:numPr>
                <w:ilvl w:val="1"/>
                <w:numId w:val="21"/>
              </w:numPr>
              <w:jc w:val="both"/>
              <w:rPr>
                <w:rFonts w:asciiTheme="minorHAnsi" w:hAnsiTheme="minorHAnsi" w:cstheme="minorHAnsi"/>
                <w:sz w:val="22"/>
                <w:szCs w:val="22"/>
              </w:rPr>
            </w:pPr>
            <w:r>
              <w:rPr>
                <w:rFonts w:asciiTheme="minorHAnsi" w:hAnsiTheme="minorHAnsi" w:cstheme="minorHAnsi"/>
                <w:sz w:val="22"/>
                <w:szCs w:val="22"/>
              </w:rPr>
              <w:t>I</w:t>
            </w:r>
            <w:r w:rsidRPr="002D2F1A">
              <w:rPr>
                <w:rFonts w:asciiTheme="minorHAnsi" w:hAnsiTheme="minorHAnsi" w:cstheme="minorHAnsi"/>
                <w:sz w:val="22"/>
                <w:szCs w:val="22"/>
              </w:rPr>
              <w:t xml:space="preserve">ntensity and quality of OO-civil </w:t>
            </w:r>
            <w:r>
              <w:rPr>
                <w:rFonts w:asciiTheme="minorHAnsi" w:hAnsiTheme="minorHAnsi" w:cstheme="minorHAnsi"/>
                <w:sz w:val="22"/>
                <w:szCs w:val="22"/>
              </w:rPr>
              <w:t xml:space="preserve">society </w:t>
            </w:r>
            <w:r w:rsidRPr="002D2F1A">
              <w:rPr>
                <w:rFonts w:asciiTheme="minorHAnsi" w:hAnsiTheme="minorHAnsi" w:cstheme="minorHAnsi"/>
                <w:sz w:val="22"/>
                <w:szCs w:val="22"/>
              </w:rPr>
              <w:t>cooperation</w:t>
            </w:r>
            <w:r>
              <w:rPr>
                <w:rFonts w:asciiTheme="minorHAnsi" w:hAnsiTheme="minorHAnsi" w:cstheme="minorHAnsi"/>
                <w:sz w:val="22"/>
                <w:szCs w:val="22"/>
              </w:rPr>
              <w:t xml:space="preserve"> improved through </w:t>
            </w:r>
            <w:r w:rsidR="00F21DCB">
              <w:rPr>
                <w:rFonts w:asciiTheme="minorHAnsi" w:hAnsiTheme="minorHAnsi" w:cstheme="minorHAnsi"/>
                <w:sz w:val="22"/>
                <w:szCs w:val="22"/>
              </w:rPr>
              <w:t xml:space="preserve">the </w:t>
            </w:r>
            <w:r>
              <w:rPr>
                <w:rFonts w:asciiTheme="minorHAnsi" w:hAnsiTheme="minorHAnsi" w:cstheme="minorHAnsi"/>
                <w:sz w:val="22"/>
                <w:szCs w:val="22"/>
              </w:rPr>
              <w:t xml:space="preserve">implementation of 13 joint projects and initiatives. </w:t>
            </w:r>
          </w:p>
          <w:p w14:paraId="2E257D51" w14:textId="77777777" w:rsidR="00542FE9" w:rsidRDefault="00542FE9" w:rsidP="00542FE9">
            <w:pPr>
              <w:pStyle w:val="ListParagraph"/>
              <w:ind w:left="450"/>
              <w:jc w:val="both"/>
              <w:rPr>
                <w:rFonts w:asciiTheme="minorHAnsi" w:hAnsiTheme="minorHAnsi" w:cstheme="minorHAnsi"/>
                <w:sz w:val="22"/>
                <w:szCs w:val="22"/>
              </w:rPr>
            </w:pPr>
          </w:p>
          <w:p w14:paraId="6F454B4A" w14:textId="3B81E5C0" w:rsidR="00542FE9" w:rsidRDefault="00542FE9" w:rsidP="008962E4">
            <w:pPr>
              <w:pStyle w:val="ListParagraph"/>
              <w:numPr>
                <w:ilvl w:val="0"/>
                <w:numId w:val="21"/>
              </w:numPr>
              <w:jc w:val="both"/>
              <w:rPr>
                <w:rFonts w:asciiTheme="minorHAnsi" w:hAnsiTheme="minorHAnsi" w:cstheme="minorHAnsi"/>
                <w:sz w:val="22"/>
                <w:szCs w:val="22"/>
              </w:rPr>
            </w:pPr>
            <w:r w:rsidRPr="003A7050">
              <w:rPr>
                <w:rFonts w:asciiTheme="minorHAnsi" w:hAnsiTheme="minorHAnsi" w:cstheme="minorHAnsi"/>
                <w:sz w:val="22"/>
                <w:szCs w:val="22"/>
              </w:rPr>
              <w:t>An improved enabling environment contributes to the realization of democratic rights and dialogue</w:t>
            </w:r>
            <w:r w:rsidR="00F21DCB">
              <w:rPr>
                <w:rFonts w:asciiTheme="minorHAnsi" w:hAnsiTheme="minorHAnsi" w:cstheme="minorHAnsi"/>
                <w:sz w:val="22"/>
                <w:szCs w:val="22"/>
              </w:rPr>
              <w:t>s</w:t>
            </w:r>
            <w:r w:rsidRPr="003A7050">
              <w:rPr>
                <w:rFonts w:asciiTheme="minorHAnsi" w:hAnsiTheme="minorHAnsi" w:cstheme="minorHAnsi"/>
                <w:sz w:val="22"/>
                <w:szCs w:val="22"/>
              </w:rPr>
              <w:t xml:space="preserve"> between civil society and authorities</w:t>
            </w:r>
          </w:p>
          <w:p w14:paraId="50663EEE" w14:textId="1CC46542" w:rsidR="00542FE9"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Monitoring </w:t>
            </w:r>
            <w:r w:rsidR="00F21DCB">
              <w:rPr>
                <w:rFonts w:asciiTheme="minorHAnsi" w:hAnsiTheme="minorHAnsi" w:cstheme="minorHAnsi"/>
                <w:sz w:val="22"/>
                <w:szCs w:val="22"/>
              </w:rPr>
              <w:t>of</w:t>
            </w:r>
            <w:r w:rsidRPr="005C29CF">
              <w:rPr>
                <w:rFonts w:asciiTheme="minorHAnsi" w:hAnsiTheme="minorHAnsi" w:cstheme="minorHAnsi"/>
                <w:sz w:val="22"/>
                <w:szCs w:val="22"/>
              </w:rPr>
              <w:t xml:space="preserve"> the implementation of the new Law on Public Associations conducted by the UNDP supported </w:t>
            </w:r>
            <w:hyperlink r:id="rId17" w:history="1">
              <w:r w:rsidRPr="005C29CF">
                <w:rPr>
                  <w:rFonts w:asciiTheme="minorHAnsi" w:hAnsiTheme="minorHAnsi" w:cstheme="minorHAnsi"/>
                  <w:sz w:val="22"/>
                  <w:szCs w:val="22"/>
                </w:rPr>
                <w:t>27-strong monitoring coalition</w:t>
              </w:r>
            </w:hyperlink>
            <w:r w:rsidRPr="005C29CF">
              <w:rPr>
                <w:rFonts w:asciiTheme="minorHAnsi" w:hAnsiTheme="minorHAnsi" w:cstheme="minorHAnsi"/>
                <w:sz w:val="22"/>
                <w:szCs w:val="22"/>
              </w:rPr>
              <w:t xml:space="preserve"> of CSOs with further awareness-raising campaign</w:t>
            </w:r>
            <w:r w:rsidR="00F21DCB">
              <w:rPr>
                <w:rFonts w:asciiTheme="minorHAnsi" w:hAnsiTheme="minorHAnsi" w:cstheme="minorHAnsi"/>
                <w:sz w:val="22"/>
                <w:szCs w:val="22"/>
              </w:rPr>
              <w:t>s</w:t>
            </w:r>
            <w:r w:rsidRPr="005C29CF">
              <w:rPr>
                <w:rFonts w:asciiTheme="minorHAnsi" w:hAnsiTheme="minorHAnsi" w:cstheme="minorHAnsi"/>
                <w:sz w:val="22"/>
                <w:szCs w:val="22"/>
              </w:rPr>
              <w:t xml:space="preserve"> and policy</w:t>
            </w:r>
            <w:r>
              <w:rPr>
                <w:rFonts w:asciiTheme="minorHAnsi" w:hAnsiTheme="minorHAnsi" w:cstheme="minorHAnsi"/>
                <w:sz w:val="22"/>
                <w:szCs w:val="22"/>
              </w:rPr>
              <w:t xml:space="preserve"> discussion</w:t>
            </w:r>
            <w:r w:rsidR="00F21DCB">
              <w:rPr>
                <w:rFonts w:asciiTheme="minorHAnsi" w:hAnsiTheme="minorHAnsi" w:cstheme="minorHAnsi"/>
                <w:sz w:val="22"/>
                <w:szCs w:val="22"/>
              </w:rPr>
              <w:t>s</w:t>
            </w:r>
            <w:r w:rsidRPr="005C29CF">
              <w:rPr>
                <w:rFonts w:asciiTheme="minorHAnsi" w:hAnsiTheme="minorHAnsi" w:cstheme="minorHAnsi"/>
                <w:sz w:val="22"/>
                <w:szCs w:val="22"/>
              </w:rPr>
              <w:t xml:space="preserve"> on </w:t>
            </w:r>
            <w:r>
              <w:rPr>
                <w:rFonts w:asciiTheme="minorHAnsi" w:hAnsiTheme="minorHAnsi" w:cstheme="minorHAnsi"/>
                <w:sz w:val="22"/>
                <w:szCs w:val="22"/>
              </w:rPr>
              <w:t xml:space="preserve">results and recommendations for future improvements </w:t>
            </w:r>
          </w:p>
          <w:p w14:paraId="7D8923C6" w14:textId="5704AD45" w:rsidR="00542FE9" w:rsidRPr="005C29CF"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The </w:t>
            </w:r>
            <w:r>
              <w:rPr>
                <w:rFonts w:asciiTheme="minorHAnsi" w:hAnsiTheme="minorHAnsi" w:cstheme="minorHAnsi"/>
                <w:sz w:val="22"/>
                <w:szCs w:val="22"/>
              </w:rPr>
              <w:t>methodology</w:t>
            </w:r>
            <w:r w:rsidRPr="005C29CF">
              <w:rPr>
                <w:rFonts w:asciiTheme="minorHAnsi" w:hAnsiTheme="minorHAnsi" w:cstheme="minorHAnsi"/>
                <w:sz w:val="22"/>
                <w:szCs w:val="22"/>
              </w:rPr>
              <w:t xml:space="preserve"> of civic expert assessment developed and </w:t>
            </w:r>
            <w:r w:rsidR="00F21DCB">
              <w:rPr>
                <w:rFonts w:asciiTheme="minorHAnsi" w:hAnsiTheme="minorHAnsi" w:cstheme="minorHAnsi"/>
                <w:sz w:val="22"/>
                <w:szCs w:val="22"/>
              </w:rPr>
              <w:t xml:space="preserve">were </w:t>
            </w:r>
            <w:r w:rsidRPr="005C29CF">
              <w:rPr>
                <w:rFonts w:asciiTheme="minorHAnsi" w:hAnsiTheme="minorHAnsi" w:cstheme="minorHAnsi"/>
                <w:sz w:val="22"/>
                <w:szCs w:val="22"/>
              </w:rPr>
              <w:t xml:space="preserve">incorporated by the Civic Expert Council established under the auspices </w:t>
            </w:r>
            <w:r w:rsidR="00F21DCB">
              <w:rPr>
                <w:rFonts w:asciiTheme="minorHAnsi" w:hAnsiTheme="minorHAnsi" w:cstheme="minorHAnsi"/>
                <w:sz w:val="22"/>
                <w:szCs w:val="22"/>
              </w:rPr>
              <w:t xml:space="preserve">of </w:t>
            </w:r>
            <w:r w:rsidRPr="005C29CF">
              <w:rPr>
                <w:rFonts w:asciiTheme="minorHAnsi" w:hAnsiTheme="minorHAnsi" w:cstheme="minorHAnsi"/>
                <w:sz w:val="22"/>
                <w:szCs w:val="22"/>
              </w:rPr>
              <w:t>the Parliamentary Committee on Fighting Organized Crime and Corruption into its practices</w:t>
            </w:r>
          </w:p>
          <w:p w14:paraId="112E51AD" w14:textId="356D4B13" w:rsidR="00542FE9"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This methodology and results of UNDP-supported stakeholders’ monitoring of Ukraine’s progress against the milestones of the OECD Istanbul Anticorruption Action Plan informed further development of so-called anticorruption package of laws which were adopted by the Parliament </w:t>
            </w:r>
          </w:p>
          <w:p w14:paraId="39001F4F" w14:textId="14AEDBCB" w:rsidR="00542FE9" w:rsidRPr="005C29CF" w:rsidRDefault="00542FE9" w:rsidP="008962E4">
            <w:pPr>
              <w:pStyle w:val="ListParagraph"/>
              <w:numPr>
                <w:ilvl w:val="1"/>
                <w:numId w:val="21"/>
              </w:numPr>
              <w:jc w:val="both"/>
              <w:rPr>
                <w:rFonts w:asciiTheme="minorHAnsi" w:hAnsiTheme="minorHAnsi" w:cstheme="minorHAnsi"/>
                <w:sz w:val="22"/>
                <w:szCs w:val="22"/>
              </w:rPr>
            </w:pPr>
            <w:r w:rsidRPr="005C29CF">
              <w:rPr>
                <w:rFonts w:asciiTheme="minorHAnsi" w:hAnsiTheme="minorHAnsi" w:cstheme="minorHAnsi"/>
                <w:sz w:val="22"/>
                <w:szCs w:val="22"/>
              </w:rPr>
              <w:t xml:space="preserve">The subnational programmes for civil society development elaborated in 4 regions (adopted in 3) strengthening CSO-government cooperation and mutual </w:t>
            </w:r>
            <w:r w:rsidR="002109A6" w:rsidRPr="005C29CF">
              <w:rPr>
                <w:rFonts w:asciiTheme="minorHAnsi" w:hAnsiTheme="minorHAnsi" w:cstheme="minorHAnsi"/>
                <w:sz w:val="22"/>
                <w:szCs w:val="22"/>
              </w:rPr>
              <w:t>commitments</w:t>
            </w:r>
            <w:r w:rsidRPr="005C29CF">
              <w:rPr>
                <w:rFonts w:asciiTheme="minorHAnsi" w:hAnsiTheme="minorHAnsi" w:cstheme="minorHAnsi"/>
                <w:sz w:val="22"/>
                <w:szCs w:val="22"/>
              </w:rPr>
              <w:t xml:space="preserve"> in framework of the National Strategy for Facilitation of Civil Society Development for 2016-2020</w:t>
            </w:r>
          </w:p>
          <w:p w14:paraId="59DBA466" w14:textId="70FE975B" w:rsidR="00B53557" w:rsidRPr="00974EE7" w:rsidRDefault="00B53557" w:rsidP="00B53557">
            <w:pPr>
              <w:pStyle w:val="FootnoteText"/>
              <w:widowControl w:val="0"/>
              <w:rPr>
                <w:rFonts w:asciiTheme="minorHAnsi" w:hAnsiTheme="minorHAnsi" w:cs="Arial"/>
                <w:sz w:val="22"/>
                <w:szCs w:val="22"/>
                <w:lang w:val="en-GB"/>
              </w:rPr>
            </w:pPr>
          </w:p>
          <w:p w14:paraId="1E23F532" w14:textId="77777777" w:rsidR="00DE7248" w:rsidRPr="00276562" w:rsidRDefault="00DE7248" w:rsidP="00DE7248">
            <w:pPr>
              <w:spacing w:after="120"/>
              <w:jc w:val="both"/>
              <w:rPr>
                <w:rFonts w:asciiTheme="minorHAnsi" w:hAnsiTheme="minorHAnsi" w:cstheme="minorHAnsi"/>
                <w:b/>
                <w:i/>
                <w:sz w:val="22"/>
                <w:szCs w:val="22"/>
              </w:rPr>
            </w:pPr>
            <w:r w:rsidRPr="00276562">
              <w:rPr>
                <w:rFonts w:asciiTheme="minorHAnsi" w:hAnsiTheme="minorHAnsi" w:cstheme="minorHAnsi"/>
                <w:b/>
                <w:i/>
                <w:sz w:val="22"/>
                <w:szCs w:val="22"/>
              </w:rPr>
              <w:t>Areas of challenge:</w:t>
            </w:r>
          </w:p>
          <w:p w14:paraId="0B1D1974" w14:textId="3CE5F749" w:rsidR="00E60FC3" w:rsidRPr="00A90C84" w:rsidRDefault="00E60FC3" w:rsidP="008962E4">
            <w:pPr>
              <w:pStyle w:val="ListParagraph"/>
              <w:numPr>
                <w:ilvl w:val="0"/>
                <w:numId w:val="21"/>
              </w:numPr>
              <w:rPr>
                <w:rFonts w:asciiTheme="minorHAnsi" w:hAnsiTheme="minorHAnsi"/>
                <w:sz w:val="22"/>
                <w:szCs w:val="22"/>
              </w:rPr>
            </w:pPr>
            <w:r w:rsidRPr="00A90C84">
              <w:rPr>
                <w:rFonts w:asciiTheme="minorHAnsi" w:hAnsiTheme="minorHAnsi"/>
                <w:sz w:val="22"/>
                <w:szCs w:val="22"/>
              </w:rPr>
              <w:t xml:space="preserve">Legal environment seems to be favourable for civil society development, but undermined social trust into CSOs &amp; </w:t>
            </w:r>
            <w:r>
              <w:rPr>
                <w:rFonts w:asciiTheme="minorHAnsi" w:hAnsiTheme="minorHAnsi"/>
                <w:sz w:val="22"/>
                <w:szCs w:val="22"/>
              </w:rPr>
              <w:t xml:space="preserve">recent </w:t>
            </w:r>
            <w:r w:rsidRPr="00A90C84">
              <w:rPr>
                <w:rFonts w:asciiTheme="minorHAnsi" w:hAnsiTheme="minorHAnsi"/>
                <w:sz w:val="22"/>
                <w:szCs w:val="22"/>
              </w:rPr>
              <w:t xml:space="preserve">confrontation with authorities enhances </w:t>
            </w:r>
            <w:r w:rsidR="00732A05">
              <w:rPr>
                <w:rFonts w:asciiTheme="minorHAnsi" w:hAnsiTheme="minorHAnsi"/>
                <w:sz w:val="22"/>
                <w:szCs w:val="22"/>
              </w:rPr>
              <w:t xml:space="preserve">the </w:t>
            </w:r>
            <w:r w:rsidRPr="00A90C84">
              <w:rPr>
                <w:rFonts w:asciiTheme="minorHAnsi" w:hAnsiTheme="minorHAnsi"/>
                <w:sz w:val="22"/>
                <w:szCs w:val="22"/>
              </w:rPr>
              <w:t xml:space="preserve">vulnerability of the civil society </w:t>
            </w:r>
          </w:p>
          <w:p w14:paraId="766623DF" w14:textId="5D4C8E20" w:rsidR="00E60FC3" w:rsidRDefault="00E60FC3" w:rsidP="008962E4">
            <w:pPr>
              <w:pStyle w:val="ListParagraph"/>
              <w:numPr>
                <w:ilvl w:val="0"/>
                <w:numId w:val="21"/>
              </w:numPr>
              <w:rPr>
                <w:rFonts w:asciiTheme="minorHAnsi" w:hAnsiTheme="minorHAnsi"/>
                <w:sz w:val="22"/>
                <w:szCs w:val="22"/>
              </w:rPr>
            </w:pPr>
            <w:r>
              <w:rPr>
                <w:rFonts w:asciiTheme="minorHAnsi" w:hAnsiTheme="minorHAnsi"/>
                <w:sz w:val="22"/>
                <w:szCs w:val="22"/>
              </w:rPr>
              <w:t xml:space="preserve">Progress of </w:t>
            </w:r>
            <w:r w:rsidRPr="00A90C84">
              <w:rPr>
                <w:rFonts w:asciiTheme="minorHAnsi" w:hAnsiTheme="minorHAnsi"/>
                <w:sz w:val="22"/>
                <w:szCs w:val="22"/>
              </w:rPr>
              <w:t>democratic reforms</w:t>
            </w:r>
            <w:r>
              <w:rPr>
                <w:rFonts w:asciiTheme="minorHAnsi" w:hAnsiTheme="minorHAnsi"/>
                <w:sz w:val="22"/>
                <w:szCs w:val="22"/>
              </w:rPr>
              <w:t>, though evident</w:t>
            </w:r>
            <w:r w:rsidR="00732A05">
              <w:rPr>
                <w:rFonts w:asciiTheme="minorHAnsi" w:hAnsiTheme="minorHAnsi"/>
                <w:sz w:val="22"/>
                <w:szCs w:val="22"/>
              </w:rPr>
              <w:t>,</w:t>
            </w:r>
            <w:r>
              <w:rPr>
                <w:rFonts w:asciiTheme="minorHAnsi" w:hAnsiTheme="minorHAnsi"/>
                <w:sz w:val="22"/>
                <w:szCs w:val="22"/>
              </w:rPr>
              <w:t xml:space="preserve"> as confirmed by </w:t>
            </w:r>
            <w:r w:rsidRPr="00A90C84">
              <w:rPr>
                <w:rFonts w:asciiTheme="minorHAnsi" w:hAnsiTheme="minorHAnsi"/>
                <w:sz w:val="22"/>
                <w:szCs w:val="22"/>
              </w:rPr>
              <w:t xml:space="preserve">approval of the EU-Ukraine visa-free regime, </w:t>
            </w:r>
            <w:r>
              <w:rPr>
                <w:rFonts w:asciiTheme="minorHAnsi" w:hAnsiTheme="minorHAnsi"/>
                <w:sz w:val="22"/>
                <w:szCs w:val="22"/>
              </w:rPr>
              <w:t>is assessed as slow by citizens</w:t>
            </w:r>
            <w:r w:rsidRPr="00A90C84">
              <w:rPr>
                <w:rFonts w:asciiTheme="minorHAnsi" w:hAnsiTheme="minorHAnsi"/>
                <w:sz w:val="22"/>
                <w:szCs w:val="22"/>
              </w:rPr>
              <w:t xml:space="preserve"> </w:t>
            </w:r>
            <w:r>
              <w:rPr>
                <w:rFonts w:asciiTheme="minorHAnsi" w:hAnsiTheme="minorHAnsi"/>
                <w:sz w:val="22"/>
                <w:szCs w:val="22"/>
              </w:rPr>
              <w:t>(</w:t>
            </w:r>
            <w:r w:rsidR="00D646D8" w:rsidRPr="00A90C84">
              <w:rPr>
                <w:rFonts w:asciiTheme="minorHAnsi" w:hAnsiTheme="minorHAnsi"/>
                <w:sz w:val="22"/>
                <w:szCs w:val="22"/>
              </w:rPr>
              <w:t>44% of Ukrainians see no progress in the implementation of the reforms</w:t>
            </w:r>
            <w:r w:rsidR="00D646D8">
              <w:rPr>
                <w:rFonts w:asciiTheme="minorHAnsi" w:hAnsiTheme="minorHAnsi"/>
                <w:sz w:val="22"/>
                <w:szCs w:val="22"/>
              </w:rPr>
              <w:t xml:space="preserve"> (</w:t>
            </w:r>
            <w:r>
              <w:rPr>
                <w:rFonts w:asciiTheme="minorHAnsi" w:hAnsiTheme="minorHAnsi"/>
                <w:sz w:val="22"/>
                <w:szCs w:val="22"/>
              </w:rPr>
              <w:t xml:space="preserve">2015 </w:t>
            </w:r>
            <w:r w:rsidRPr="00A90C84">
              <w:rPr>
                <w:rFonts w:asciiTheme="minorHAnsi" w:hAnsiTheme="minorHAnsi"/>
                <w:sz w:val="22"/>
                <w:szCs w:val="22"/>
              </w:rPr>
              <w:t>GfK survey</w:t>
            </w:r>
            <w:r w:rsidR="00D646D8">
              <w:rPr>
                <w:rFonts w:asciiTheme="minorHAnsi" w:hAnsiTheme="minorHAnsi"/>
                <w:sz w:val="22"/>
                <w:szCs w:val="22"/>
              </w:rPr>
              <w:t>)</w:t>
            </w:r>
            <w:r w:rsidRPr="00A90C84">
              <w:rPr>
                <w:rFonts w:asciiTheme="minorHAnsi" w:hAnsiTheme="minorHAnsi"/>
                <w:sz w:val="22"/>
                <w:szCs w:val="22"/>
              </w:rPr>
              <w:t xml:space="preserve">; </w:t>
            </w:r>
            <w:r w:rsidR="00D646D8" w:rsidRPr="00A90C84">
              <w:rPr>
                <w:rFonts w:asciiTheme="minorHAnsi" w:hAnsiTheme="minorHAnsi"/>
                <w:sz w:val="22"/>
                <w:szCs w:val="22"/>
              </w:rPr>
              <w:t xml:space="preserve">only 8% of citizens believe that they have influence on the situation in the country </w:t>
            </w:r>
            <w:r w:rsidR="00D646D8">
              <w:rPr>
                <w:rFonts w:asciiTheme="minorHAnsi" w:hAnsiTheme="minorHAnsi"/>
                <w:sz w:val="22"/>
                <w:szCs w:val="22"/>
              </w:rPr>
              <w:t>(</w:t>
            </w:r>
            <w:r w:rsidRPr="00A90C84">
              <w:rPr>
                <w:rFonts w:asciiTheme="minorHAnsi" w:hAnsiTheme="minorHAnsi"/>
                <w:sz w:val="22"/>
                <w:szCs w:val="22"/>
              </w:rPr>
              <w:t>2016 UNDP-commissioned survey</w:t>
            </w:r>
            <w:r w:rsidR="00D646D8">
              <w:rPr>
                <w:rFonts w:asciiTheme="minorHAnsi" w:hAnsiTheme="minorHAnsi"/>
                <w:sz w:val="22"/>
                <w:szCs w:val="22"/>
              </w:rPr>
              <w:t xml:space="preserve">). </w:t>
            </w:r>
          </w:p>
          <w:p w14:paraId="19AD084B" w14:textId="5487E023" w:rsidR="00DE7248" w:rsidRDefault="00281F4E" w:rsidP="008962E4">
            <w:pPr>
              <w:pStyle w:val="ListParagraph"/>
              <w:numPr>
                <w:ilvl w:val="0"/>
                <w:numId w:val="21"/>
              </w:numPr>
              <w:rPr>
                <w:rFonts w:asciiTheme="minorHAnsi" w:hAnsiTheme="minorHAnsi" w:cstheme="minorHAnsi"/>
                <w:sz w:val="22"/>
                <w:szCs w:val="22"/>
              </w:rPr>
            </w:pPr>
            <w:r>
              <w:rPr>
                <w:rFonts w:asciiTheme="minorHAnsi" w:hAnsiTheme="minorHAnsi"/>
                <w:sz w:val="22"/>
                <w:szCs w:val="22"/>
              </w:rPr>
              <w:t xml:space="preserve">The protracted conflict </w:t>
            </w:r>
            <w:r w:rsidRPr="00281F4E">
              <w:rPr>
                <w:rFonts w:asciiTheme="minorHAnsi" w:hAnsiTheme="minorHAnsi"/>
                <w:sz w:val="22"/>
                <w:szCs w:val="22"/>
              </w:rPr>
              <w:t xml:space="preserve">in </w:t>
            </w:r>
            <w:r>
              <w:rPr>
                <w:rFonts w:asciiTheme="minorHAnsi" w:hAnsiTheme="minorHAnsi"/>
                <w:sz w:val="22"/>
                <w:szCs w:val="22"/>
              </w:rPr>
              <w:t xml:space="preserve">the </w:t>
            </w:r>
            <w:r w:rsidRPr="00281F4E">
              <w:rPr>
                <w:rFonts w:asciiTheme="minorHAnsi" w:hAnsiTheme="minorHAnsi"/>
                <w:sz w:val="22"/>
                <w:szCs w:val="22"/>
              </w:rPr>
              <w:t>East</w:t>
            </w:r>
            <w:r>
              <w:rPr>
                <w:rFonts w:asciiTheme="minorHAnsi" w:hAnsiTheme="minorHAnsi"/>
                <w:sz w:val="22"/>
                <w:szCs w:val="22"/>
              </w:rPr>
              <w:t xml:space="preserve"> of</w:t>
            </w:r>
            <w:r w:rsidRPr="00281F4E">
              <w:rPr>
                <w:rFonts w:asciiTheme="minorHAnsi" w:hAnsiTheme="minorHAnsi"/>
                <w:sz w:val="22"/>
                <w:szCs w:val="22"/>
              </w:rPr>
              <w:t xml:space="preserve"> Ukraine</w:t>
            </w:r>
            <w:r>
              <w:rPr>
                <w:rFonts w:asciiTheme="minorHAnsi" w:hAnsiTheme="minorHAnsi"/>
                <w:sz w:val="22"/>
                <w:szCs w:val="22"/>
              </w:rPr>
              <w:t xml:space="preserve">, </w:t>
            </w:r>
            <w:r w:rsidRPr="00281F4E">
              <w:rPr>
                <w:rFonts w:asciiTheme="minorHAnsi" w:hAnsiTheme="minorHAnsi"/>
                <w:sz w:val="22"/>
                <w:szCs w:val="22"/>
              </w:rPr>
              <w:t>effective border conflict in Crimea</w:t>
            </w:r>
            <w:r>
              <w:rPr>
                <w:rFonts w:asciiTheme="minorHAnsi" w:hAnsiTheme="minorHAnsi"/>
                <w:sz w:val="22"/>
                <w:szCs w:val="22"/>
              </w:rPr>
              <w:t xml:space="preserve"> and lack of capacities of the duty-bearers to provide effective response to the human rights challenges causes deterioration of human rights situation in the country </w:t>
            </w:r>
          </w:p>
          <w:p w14:paraId="0CBEEED7" w14:textId="77777777" w:rsidR="003023E7" w:rsidRDefault="003023E7" w:rsidP="00B53557">
            <w:pPr>
              <w:pStyle w:val="FootnoteText"/>
              <w:widowControl w:val="0"/>
              <w:rPr>
                <w:rFonts w:asciiTheme="minorHAnsi" w:hAnsiTheme="minorHAnsi" w:cstheme="minorHAnsi"/>
                <w:sz w:val="22"/>
                <w:szCs w:val="22"/>
                <w:lang w:val="en-GB"/>
              </w:rPr>
            </w:pPr>
          </w:p>
          <w:p w14:paraId="30375451" w14:textId="77777777" w:rsidR="003023E7" w:rsidRDefault="003023E7" w:rsidP="00B53557">
            <w:pPr>
              <w:pStyle w:val="FootnoteText"/>
              <w:widowControl w:val="0"/>
              <w:rPr>
                <w:rFonts w:asciiTheme="minorHAnsi" w:hAnsiTheme="minorHAnsi" w:cstheme="minorHAnsi"/>
                <w:sz w:val="22"/>
                <w:szCs w:val="22"/>
                <w:lang w:val="en-GB"/>
              </w:rPr>
            </w:pPr>
          </w:p>
          <w:p w14:paraId="36D836CD" w14:textId="3FFFB0A3" w:rsidR="00B53557" w:rsidRPr="00043659" w:rsidRDefault="00B53557" w:rsidP="00B53557">
            <w:pPr>
              <w:pStyle w:val="FootnoteText"/>
              <w:widowControl w:val="0"/>
              <w:rPr>
                <w:rFonts w:asciiTheme="minorHAnsi" w:hAnsiTheme="minorHAnsi" w:cstheme="minorHAnsi"/>
                <w:sz w:val="22"/>
                <w:szCs w:val="22"/>
                <w:lang w:val="en-GB"/>
              </w:rPr>
            </w:pPr>
            <w:r>
              <w:rPr>
                <w:rFonts w:asciiTheme="minorHAnsi" w:hAnsiTheme="minorHAnsi" w:cstheme="minorHAnsi"/>
                <w:b/>
                <w:i/>
                <w:noProof/>
                <w:sz w:val="22"/>
                <w:szCs w:val="22"/>
                <w:lang w:val="en-US" w:eastAsia="en-US"/>
              </w:rPr>
              <mc:AlternateContent>
                <mc:Choice Requires="wps">
                  <w:drawing>
                    <wp:anchor distT="0" distB="0" distL="114300" distR="114300" simplePos="0" relativeHeight="251670528" behindDoc="0" locked="0" layoutInCell="1" allowOverlap="1" wp14:anchorId="715006DA" wp14:editId="3CCAB6C8">
                      <wp:simplePos x="0" y="0"/>
                      <wp:positionH relativeFrom="column">
                        <wp:posOffset>-8255</wp:posOffset>
                      </wp:positionH>
                      <wp:positionV relativeFrom="paragraph">
                        <wp:posOffset>162337</wp:posOffset>
                      </wp:positionV>
                      <wp:extent cx="6164580" cy="433070"/>
                      <wp:effectExtent l="0" t="0" r="26670" b="24130"/>
                      <wp:wrapNone/>
                      <wp:docPr id="3" name="Rectangle 3"/>
                      <wp:cNvGraphicFramePr/>
                      <a:graphic xmlns:a="http://schemas.openxmlformats.org/drawingml/2006/main">
                        <a:graphicData uri="http://schemas.microsoft.com/office/word/2010/wordprocessingShape">
                          <wps:wsp>
                            <wps:cNvSpPr/>
                            <wps:spPr>
                              <a:xfrm>
                                <a:off x="0" y="0"/>
                                <a:ext cx="6164580" cy="4330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967D" id="Rectangle 3" o:spid="_x0000_s1026" style="position:absolute;margin-left:-.65pt;margin-top:12.8pt;width:485.4pt;height:3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" filled="f" strokecolor="#f79646 [3209]" strokeweight="2pt"/>
                  </w:pict>
                </mc:Fallback>
              </mc:AlternateContent>
            </w:r>
          </w:p>
          <w:p w14:paraId="1FBB2D51" w14:textId="622F5EA4" w:rsidR="00B53557" w:rsidRPr="00043659" w:rsidRDefault="00B53557" w:rsidP="00B53557">
            <w:pPr>
              <w:ind w:left="540"/>
              <w:rPr>
                <w:rStyle w:val="hps"/>
                <w:rFonts w:asciiTheme="minorHAnsi" w:hAnsiTheme="minorHAnsi" w:cstheme="minorHAnsi"/>
                <w:b/>
                <w:i/>
                <w:sz w:val="22"/>
                <w:szCs w:val="22"/>
              </w:rPr>
            </w:pPr>
            <w:r w:rsidRPr="00043659">
              <w:rPr>
                <w:rStyle w:val="hps"/>
                <w:rFonts w:asciiTheme="minorHAnsi" w:hAnsiTheme="minorHAnsi" w:cstheme="minorHAnsi"/>
                <w:b/>
                <w:i/>
                <w:sz w:val="22"/>
                <w:szCs w:val="22"/>
              </w:rPr>
              <w:t>IO 1. Civil society has increased capacity and contributes to the democratic processes.</w:t>
            </w:r>
          </w:p>
          <w:p w14:paraId="7A124232" w14:textId="026D6CAC" w:rsidR="00B53557" w:rsidRDefault="00B53557" w:rsidP="00B53557">
            <w:pPr>
              <w:ind w:left="540"/>
              <w:rPr>
                <w:rFonts w:ascii="Calibri" w:hAnsi="Calibri"/>
                <w:b/>
                <w:bCs/>
                <w:sz w:val="28"/>
                <w:szCs w:val="28"/>
                <w:lang w:val="en-US" w:eastAsia="en-US"/>
              </w:rPr>
            </w:pPr>
            <w:r w:rsidRPr="009C1EDC">
              <w:rPr>
                <w:rFonts w:ascii="Calibri" w:hAnsi="Calibri"/>
                <w:b/>
                <w:bCs/>
                <w:sz w:val="28"/>
                <w:szCs w:val="28"/>
                <w:lang w:val="en-US" w:eastAsia="en-US"/>
              </w:rPr>
              <w:t xml:space="preserve">CSOs capacity </w:t>
            </w:r>
            <w:r w:rsidRPr="005F08EE">
              <w:rPr>
                <w:rFonts w:ascii="Calibri" w:hAnsi="Calibri"/>
                <w:b/>
                <w:bCs/>
                <w:sz w:val="28"/>
                <w:szCs w:val="28"/>
                <w:lang w:val="en-US" w:eastAsia="en-US"/>
              </w:rPr>
              <w:t>development</w:t>
            </w:r>
            <w:r w:rsidRPr="009C1EDC">
              <w:rPr>
                <w:rFonts w:ascii="Calibri" w:hAnsi="Calibri"/>
                <w:b/>
                <w:bCs/>
                <w:sz w:val="28"/>
                <w:szCs w:val="28"/>
                <w:lang w:val="en-US" w:eastAsia="en-US"/>
              </w:rPr>
              <w:t>: regional hubs</w:t>
            </w:r>
          </w:p>
          <w:p w14:paraId="744D727F" w14:textId="4ABF80E6" w:rsidR="00B53557" w:rsidRPr="00BC5017" w:rsidRDefault="00B53557" w:rsidP="00B53557">
            <w:pPr>
              <w:pStyle w:val="NormalWeb"/>
              <w:spacing w:before="0" w:beforeAutospacing="0" w:after="0" w:afterAutospacing="0"/>
              <w:rPr>
                <w:rFonts w:ascii="Calibri" w:hAnsi="Calibri" w:cs="Calibri"/>
                <w:sz w:val="28"/>
                <w:szCs w:val="28"/>
                <w:lang w:val="en-GB" w:eastAsia="en-US"/>
              </w:rPr>
            </w:pPr>
          </w:p>
          <w:p w14:paraId="09F700D1" w14:textId="345597C5" w:rsidR="00B53557" w:rsidRPr="00FC3C5E" w:rsidRDefault="00B53557" w:rsidP="00B53557">
            <w:pPr>
              <w:rPr>
                <w:rFonts w:ascii="Calibri" w:hAnsi="Calibri"/>
                <w:sz w:val="22"/>
                <w:szCs w:val="22"/>
                <w:lang w:val="en-US" w:eastAsia="en-US"/>
              </w:rPr>
            </w:pPr>
            <w:r>
              <w:rPr>
                <w:rFonts w:ascii="Calibri" w:hAnsi="Calibri"/>
                <w:noProof/>
                <w:sz w:val="22"/>
                <w:szCs w:val="22"/>
                <w:lang w:val="en-US" w:eastAsia="en-US"/>
              </w:rPr>
              <w:drawing>
                <wp:anchor distT="0" distB="0" distL="114300" distR="114300" simplePos="0" relativeHeight="251673600" behindDoc="1" locked="0" layoutInCell="1" allowOverlap="1" wp14:anchorId="3A2F13BE" wp14:editId="531D0288">
                  <wp:simplePos x="0" y="0"/>
                  <wp:positionH relativeFrom="column">
                    <wp:posOffset>3840933</wp:posOffset>
                  </wp:positionH>
                  <wp:positionV relativeFrom="paragraph">
                    <wp:posOffset>1189982</wp:posOffset>
                  </wp:positionV>
                  <wp:extent cx="2353310" cy="2446020"/>
                  <wp:effectExtent l="0" t="0" r="8890" b="0"/>
                  <wp:wrapTight wrapText="bothSides">
                    <wp:wrapPolygon edited="0">
                      <wp:start x="21600" y="21600"/>
                      <wp:lineTo x="21600" y="236"/>
                      <wp:lineTo x="93" y="236"/>
                      <wp:lineTo x="93" y="21600"/>
                      <wp:lineTo x="21600" y="21600"/>
                    </wp:wrapPolygon>
                  </wp:wrapTight>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885C7.tmp"/>
                          <pic:cNvPicPr/>
                        </pic:nvPicPr>
                        <pic:blipFill rotWithShape="1">
                          <a:blip r:embed="rId18">
                            <a:extLst>
                              <a:ext uri="{28A0092B-C50C-407E-A947-70E740481C1C}">
                                <a14:useLocalDpi xmlns:a14="http://schemas.microsoft.com/office/drawing/2010/main" val="0"/>
                              </a:ext>
                            </a:extLst>
                          </a:blip>
                          <a:srcRect l="9874" t="-1609" r="-630" b="-1609"/>
                          <a:stretch/>
                        </pic:blipFill>
                        <pic:spPr bwMode="auto">
                          <a:xfrm rot="10800000" flipH="1" flipV="1">
                            <a:off x="0" y="0"/>
                            <a:ext cx="2353310" cy="2446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3C5E">
              <w:rPr>
                <w:rFonts w:ascii="Calibri" w:hAnsi="Calibri"/>
                <w:sz w:val="22"/>
                <w:szCs w:val="22"/>
                <w:lang w:val="en-US" w:eastAsia="en-US"/>
              </w:rPr>
              <w:t xml:space="preserve">Despite many challenges, civil society in Ukraine has been developing steadily since </w:t>
            </w:r>
            <w:r w:rsidR="0062466A">
              <w:rPr>
                <w:rFonts w:ascii="Calibri" w:hAnsi="Calibri"/>
                <w:sz w:val="22"/>
                <w:szCs w:val="22"/>
                <w:lang w:val="en-US" w:eastAsia="en-US"/>
              </w:rPr>
              <w:t>its</w:t>
            </w:r>
            <w:r w:rsidRPr="00FC3C5E">
              <w:rPr>
                <w:rFonts w:ascii="Calibri" w:hAnsi="Calibri"/>
                <w:sz w:val="22"/>
                <w:szCs w:val="22"/>
                <w:lang w:val="en-US" w:eastAsia="en-US"/>
              </w:rPr>
              <w:t xml:space="preserve"> independence and played a very influential position in bringing forth the reforms and advocacy for government transparency and accountability </w:t>
            </w:r>
            <w:r w:rsidR="00477B4F">
              <w:rPr>
                <w:rFonts w:ascii="Calibri" w:hAnsi="Calibri"/>
                <w:sz w:val="22"/>
                <w:szCs w:val="22"/>
                <w:lang w:val="en-US" w:eastAsia="en-US"/>
              </w:rPr>
              <w:t>at a</w:t>
            </w:r>
            <w:r w:rsidRPr="00FC3C5E">
              <w:rPr>
                <w:rFonts w:ascii="Calibri" w:hAnsi="Calibri"/>
                <w:sz w:val="22"/>
                <w:szCs w:val="22"/>
                <w:lang w:val="en-US" w:eastAsia="en-US"/>
              </w:rPr>
              <w:t xml:space="preserve"> national level. However, the geopolitical influence of Ukrainian CSOs </w:t>
            </w:r>
            <w:r w:rsidR="00477B4F">
              <w:rPr>
                <w:rFonts w:ascii="Calibri" w:hAnsi="Calibri"/>
                <w:sz w:val="22"/>
                <w:szCs w:val="22"/>
                <w:lang w:val="en-US" w:eastAsia="en-US"/>
              </w:rPr>
              <w:t>are</w:t>
            </w:r>
            <w:r w:rsidRPr="00FC3C5E">
              <w:rPr>
                <w:rFonts w:ascii="Calibri" w:hAnsi="Calibri"/>
                <w:sz w:val="22"/>
                <w:szCs w:val="22"/>
                <w:lang w:val="en-US" w:eastAsia="en-US"/>
              </w:rPr>
              <w:t xml:space="preserve"> limited to Kyiv-based organizations who have stronger connections with the government, media, volunteers</w:t>
            </w:r>
            <w:r w:rsidR="00477B4F">
              <w:rPr>
                <w:rFonts w:ascii="Calibri" w:hAnsi="Calibri"/>
                <w:sz w:val="22"/>
                <w:szCs w:val="22"/>
                <w:lang w:val="en-US" w:eastAsia="en-US"/>
              </w:rPr>
              <w:t>,</w:t>
            </w:r>
            <w:r w:rsidRPr="00FC3C5E">
              <w:rPr>
                <w:rFonts w:ascii="Calibri" w:hAnsi="Calibri"/>
                <w:sz w:val="22"/>
                <w:szCs w:val="22"/>
                <w:lang w:val="en-US" w:eastAsia="en-US"/>
              </w:rPr>
              <w:t xml:space="preserve"> and</w:t>
            </w:r>
            <w:r w:rsidR="00477B4F">
              <w:rPr>
                <w:rFonts w:ascii="Calibri" w:hAnsi="Calibri"/>
                <w:sz w:val="22"/>
                <w:szCs w:val="22"/>
                <w:lang w:val="en-US" w:eastAsia="en-US"/>
              </w:rPr>
              <w:t xml:space="preserve"> the</w:t>
            </w:r>
            <w:r w:rsidRPr="00FC3C5E">
              <w:rPr>
                <w:rFonts w:ascii="Calibri" w:hAnsi="Calibri"/>
                <w:sz w:val="22"/>
                <w:szCs w:val="22"/>
                <w:lang w:val="en-US" w:eastAsia="en-US"/>
              </w:rPr>
              <w:t xml:space="preserve"> international community. Smaller regional-level CSOs do not have enough resources and capacities to compete with large</w:t>
            </w:r>
            <w:r w:rsidR="00477B4F">
              <w:rPr>
                <w:rFonts w:ascii="Calibri" w:hAnsi="Calibri"/>
                <w:sz w:val="22"/>
                <w:szCs w:val="22"/>
                <w:lang w:val="en-US" w:eastAsia="en-US"/>
              </w:rPr>
              <w:t>r</w:t>
            </w:r>
            <w:r w:rsidRPr="00FC3C5E">
              <w:rPr>
                <w:rFonts w:ascii="Calibri" w:hAnsi="Calibri"/>
                <w:sz w:val="22"/>
                <w:szCs w:val="22"/>
                <w:lang w:val="en-US" w:eastAsia="en-US"/>
              </w:rPr>
              <w:t xml:space="preserve"> national ones</w:t>
            </w:r>
            <w:r w:rsidR="00477B4F">
              <w:rPr>
                <w:rFonts w:ascii="Calibri" w:hAnsi="Calibri"/>
                <w:sz w:val="22"/>
                <w:szCs w:val="22"/>
                <w:lang w:val="en-US" w:eastAsia="en-US"/>
              </w:rPr>
              <w:t>,</w:t>
            </w:r>
            <w:r w:rsidRPr="00FC3C5E">
              <w:rPr>
                <w:rFonts w:ascii="Calibri" w:hAnsi="Calibri"/>
                <w:sz w:val="22"/>
                <w:szCs w:val="22"/>
                <w:lang w:val="en-US" w:eastAsia="en-US"/>
              </w:rPr>
              <w:t xml:space="preserve"> and therefore, do not participate in the promotion of reform agenda</w:t>
            </w:r>
            <w:r w:rsidR="00477B4F">
              <w:rPr>
                <w:rFonts w:ascii="Calibri" w:hAnsi="Calibri"/>
                <w:sz w:val="22"/>
                <w:szCs w:val="22"/>
                <w:lang w:val="en-US" w:eastAsia="en-US"/>
              </w:rPr>
              <w:t>s</w:t>
            </w:r>
            <w:r w:rsidRPr="00FC3C5E">
              <w:rPr>
                <w:rFonts w:ascii="Calibri" w:hAnsi="Calibri"/>
                <w:sz w:val="22"/>
                <w:szCs w:val="22"/>
                <w:lang w:val="en-US" w:eastAsia="en-US"/>
              </w:rPr>
              <w:t xml:space="preserve">. DHRP/UNDP intervention focused on empowering regional-level CSOs act as regional hubs and leaders of moving </w:t>
            </w:r>
            <w:r w:rsidR="00477B4F">
              <w:rPr>
                <w:rFonts w:ascii="Calibri" w:hAnsi="Calibri"/>
                <w:sz w:val="22"/>
                <w:szCs w:val="22"/>
                <w:lang w:val="en-US" w:eastAsia="en-US"/>
              </w:rPr>
              <w:t>the</w:t>
            </w:r>
            <w:r w:rsidR="00477B4F" w:rsidRPr="00FC3C5E">
              <w:rPr>
                <w:rFonts w:ascii="Calibri" w:hAnsi="Calibri"/>
                <w:sz w:val="22"/>
                <w:szCs w:val="22"/>
                <w:lang w:val="en-US" w:eastAsia="en-US"/>
              </w:rPr>
              <w:t xml:space="preserve"> </w:t>
            </w:r>
            <w:r w:rsidRPr="00FC3C5E">
              <w:rPr>
                <w:rFonts w:ascii="Calibri" w:hAnsi="Calibri"/>
                <w:sz w:val="22"/>
                <w:szCs w:val="22"/>
                <w:lang w:val="en-US" w:eastAsia="en-US"/>
              </w:rPr>
              <w:t xml:space="preserve">democratization </w:t>
            </w:r>
            <w:r w:rsidR="00477B4F">
              <w:rPr>
                <w:rFonts w:ascii="Calibri" w:hAnsi="Calibri"/>
                <w:sz w:val="22"/>
                <w:szCs w:val="22"/>
                <w:lang w:val="en-US" w:eastAsia="en-US"/>
              </w:rPr>
              <w:t>process forward,</w:t>
            </w:r>
            <w:r w:rsidRPr="00FC3C5E">
              <w:rPr>
                <w:rFonts w:ascii="Calibri" w:hAnsi="Calibri"/>
                <w:sz w:val="22"/>
                <w:szCs w:val="22"/>
                <w:lang w:val="en-US" w:eastAsia="en-US"/>
              </w:rPr>
              <w:t xml:space="preserve"> and promoting human rights.</w:t>
            </w:r>
          </w:p>
          <w:p w14:paraId="29826BEE" w14:textId="7130A4CF" w:rsidR="00B53557" w:rsidRPr="009C1EDC" w:rsidRDefault="00B53557" w:rsidP="00B53557">
            <w:pPr>
              <w:rPr>
                <w:rFonts w:ascii="Calibri" w:hAnsi="Calibri"/>
                <w:sz w:val="22"/>
                <w:szCs w:val="22"/>
                <w:lang w:val="en-US" w:eastAsia="en-US"/>
              </w:rPr>
            </w:pPr>
            <w:r w:rsidRPr="009C1EDC">
              <w:rPr>
                <w:rFonts w:ascii="Calibri" w:hAnsi="Calibri"/>
                <w:sz w:val="22"/>
                <w:szCs w:val="22"/>
                <w:lang w:val="en-US" w:eastAsia="en-US"/>
              </w:rPr>
              <w:t> </w:t>
            </w:r>
          </w:p>
          <w:p w14:paraId="0B73555E" w14:textId="52AC2AE5" w:rsidR="00B53557" w:rsidRPr="009C1EDC" w:rsidRDefault="00B53557" w:rsidP="00B53557">
            <w:pPr>
              <w:rPr>
                <w:rFonts w:ascii="Calibri" w:hAnsi="Calibri"/>
                <w:sz w:val="22"/>
                <w:szCs w:val="22"/>
                <w:lang w:val="en-US" w:eastAsia="en-US"/>
              </w:rPr>
            </w:pPr>
            <w:r w:rsidRPr="009C1EDC">
              <w:rPr>
                <w:rFonts w:ascii="Calibri" w:hAnsi="Calibri"/>
                <w:sz w:val="22"/>
                <w:szCs w:val="22"/>
                <w:lang w:val="en-US" w:eastAsia="en-US"/>
              </w:rPr>
              <w:t xml:space="preserve">Throughout the project implementation period, </w:t>
            </w:r>
            <w:r w:rsidRPr="0048634F">
              <w:rPr>
                <w:rFonts w:ascii="Calibri" w:hAnsi="Calibri"/>
                <w:sz w:val="22"/>
                <w:szCs w:val="22"/>
                <w:u w:val="single"/>
                <w:lang w:val="en-US" w:eastAsia="en-US"/>
              </w:rPr>
              <w:t>a total of 8 CSOs became regional civil society leaders</w:t>
            </w:r>
            <w:r w:rsidRPr="009C1EDC">
              <w:rPr>
                <w:rFonts w:ascii="Calibri" w:hAnsi="Calibri"/>
                <w:sz w:val="22"/>
                <w:szCs w:val="22"/>
                <w:lang w:val="en-US" w:eastAsia="en-US"/>
              </w:rPr>
              <w:t xml:space="preserve">, as a result of strengthening </w:t>
            </w:r>
            <w:r>
              <w:rPr>
                <w:rFonts w:ascii="Calibri" w:hAnsi="Calibri"/>
                <w:sz w:val="22"/>
                <w:szCs w:val="22"/>
                <w:lang w:val="en-US" w:eastAsia="en-US"/>
              </w:rPr>
              <w:t>their</w:t>
            </w:r>
            <w:r w:rsidRPr="009C1EDC">
              <w:rPr>
                <w:rFonts w:ascii="Calibri" w:hAnsi="Calibri"/>
                <w:sz w:val="22"/>
                <w:szCs w:val="22"/>
                <w:lang w:val="en-US" w:eastAsia="en-US"/>
              </w:rPr>
              <w:t xml:space="preserve"> performance in terms of membership, financial sustainability,</w:t>
            </w:r>
            <w:r w:rsidR="00280BF3">
              <w:rPr>
                <w:rFonts w:ascii="Calibri" w:hAnsi="Calibri"/>
                <w:sz w:val="22"/>
                <w:szCs w:val="22"/>
                <w:lang w:val="en-US" w:eastAsia="en-US"/>
              </w:rPr>
              <w:t xml:space="preserve"> and</w:t>
            </w:r>
            <w:r w:rsidRPr="009C1EDC">
              <w:rPr>
                <w:rFonts w:ascii="Calibri" w:hAnsi="Calibri"/>
                <w:sz w:val="22"/>
                <w:szCs w:val="22"/>
                <w:lang w:val="en-US" w:eastAsia="en-US"/>
              </w:rPr>
              <w:t xml:space="preserve"> operatio</w:t>
            </w:r>
            <w:r>
              <w:rPr>
                <w:rFonts w:ascii="Calibri" w:hAnsi="Calibri"/>
                <w:sz w:val="22"/>
                <w:szCs w:val="22"/>
                <w:lang w:val="en-US" w:eastAsia="en-US"/>
              </w:rPr>
              <w:t xml:space="preserve">nal procedures and policies. These hubs </w:t>
            </w:r>
            <w:r w:rsidRPr="009C1EDC">
              <w:rPr>
                <w:rFonts w:ascii="Calibri" w:hAnsi="Calibri"/>
                <w:sz w:val="22"/>
                <w:szCs w:val="22"/>
                <w:lang w:val="en-US" w:eastAsia="en-US"/>
              </w:rPr>
              <w:t>became regional leaders amongst CSO communit</w:t>
            </w:r>
            <w:r w:rsidR="00280BF3">
              <w:rPr>
                <w:rFonts w:ascii="Calibri" w:hAnsi="Calibri"/>
                <w:sz w:val="22"/>
                <w:szCs w:val="22"/>
                <w:lang w:val="en-US" w:eastAsia="en-US"/>
              </w:rPr>
              <w:t>ies</w:t>
            </w:r>
            <w:r w:rsidRPr="009C1EDC">
              <w:rPr>
                <w:rFonts w:ascii="Calibri" w:hAnsi="Calibri"/>
                <w:sz w:val="22"/>
                <w:szCs w:val="22"/>
                <w:lang w:val="en-US" w:eastAsia="en-US"/>
              </w:rPr>
              <w:t xml:space="preserve"> upon comprehensive organizational assessment</w:t>
            </w:r>
            <w:r w:rsidR="00280BF3">
              <w:rPr>
                <w:rFonts w:ascii="Calibri" w:hAnsi="Calibri"/>
                <w:sz w:val="22"/>
                <w:szCs w:val="22"/>
                <w:lang w:val="en-US" w:eastAsia="en-US"/>
              </w:rPr>
              <w:t>s</w:t>
            </w:r>
            <w:r w:rsidRPr="009C1EDC">
              <w:rPr>
                <w:rFonts w:ascii="Calibri" w:hAnsi="Calibri"/>
                <w:sz w:val="22"/>
                <w:szCs w:val="22"/>
                <w:lang w:val="en-US" w:eastAsia="en-US"/>
              </w:rPr>
              <w:t>. Out of these CSO hubs, 5 focused specifically on strengthening the role of civil society in democratic processes and the other three focused on promotion and defense of human rights in Ukraine.</w:t>
            </w:r>
          </w:p>
          <w:p w14:paraId="629EAAB3" w14:textId="038011DD" w:rsidR="00B53557" w:rsidRPr="00FC3C5E" w:rsidRDefault="00B53557" w:rsidP="00B53557">
            <w:pPr>
              <w:rPr>
                <w:rFonts w:ascii="Calibri" w:hAnsi="Calibri"/>
                <w:sz w:val="22"/>
                <w:szCs w:val="22"/>
                <w:u w:val="single"/>
                <w:lang w:val="en-US" w:eastAsia="en-US"/>
              </w:rPr>
            </w:pPr>
            <w:r w:rsidRPr="009C1EDC">
              <w:rPr>
                <w:rFonts w:ascii="Calibri" w:hAnsi="Calibri"/>
                <w:sz w:val="22"/>
                <w:szCs w:val="22"/>
                <w:lang w:val="en-US" w:eastAsia="en-US"/>
              </w:rPr>
              <w:t> </w:t>
            </w:r>
          </w:p>
          <w:p w14:paraId="722DF5B1" w14:textId="15B31F61" w:rsidR="00B53557" w:rsidRPr="00532BBC" w:rsidRDefault="00B53557" w:rsidP="00B53557">
            <w:pPr>
              <w:rPr>
                <w:rFonts w:ascii="Calibri" w:hAnsi="Calibri"/>
                <w:i/>
                <w:sz w:val="22"/>
                <w:szCs w:val="22"/>
                <w:u w:val="single"/>
                <w:lang w:val="en-US" w:eastAsia="en-US"/>
              </w:rPr>
            </w:pPr>
            <w:r>
              <w:rPr>
                <w:rFonts w:ascii="Calibri" w:hAnsi="Calibri"/>
                <w:i/>
                <w:sz w:val="22"/>
                <w:szCs w:val="22"/>
                <w:u w:val="single"/>
                <w:lang w:val="en-US" w:eastAsia="en-US"/>
              </w:rPr>
              <w:t>Timeline of the p</w:t>
            </w:r>
            <w:r w:rsidRPr="00532BBC">
              <w:rPr>
                <w:rFonts w:ascii="Calibri" w:hAnsi="Calibri"/>
                <w:i/>
                <w:sz w:val="22"/>
                <w:szCs w:val="22"/>
                <w:u w:val="single"/>
                <w:lang w:val="en-US" w:eastAsia="en-US"/>
              </w:rPr>
              <w:t>rocess of the Hubs institutional development continued from 2013 till 2016:</w:t>
            </w:r>
          </w:p>
          <w:p w14:paraId="7151ACEE" w14:textId="3D9492C3" w:rsidR="00B53557" w:rsidRDefault="00B53557" w:rsidP="00B53557">
            <w:pPr>
              <w:rPr>
                <w:rFonts w:ascii="Calibri" w:hAnsi="Calibri"/>
                <w:i/>
                <w:sz w:val="22"/>
                <w:szCs w:val="22"/>
                <w:lang w:val="en-US" w:eastAsia="en-US"/>
              </w:rPr>
            </w:pPr>
          </w:p>
          <w:p w14:paraId="42E4ABF3" w14:textId="0284D38E" w:rsidR="00B53557" w:rsidRPr="0048634F" w:rsidRDefault="00B53557" w:rsidP="00B53557">
            <w:pPr>
              <w:rPr>
                <w:rFonts w:ascii="Calibri" w:hAnsi="Calibri"/>
                <w:b/>
                <w:color w:val="1F497D" w:themeColor="text2"/>
                <w:sz w:val="22"/>
                <w:szCs w:val="22"/>
                <w:lang w:val="en-US" w:eastAsia="en-US"/>
              </w:rPr>
            </w:pPr>
            <w:r w:rsidRPr="0048634F">
              <w:rPr>
                <w:rFonts w:ascii="Calibri" w:hAnsi="Calibri"/>
                <w:b/>
                <w:color w:val="1F497D" w:themeColor="text2"/>
                <w:sz w:val="22"/>
                <w:szCs w:val="22"/>
                <w:lang w:val="en-US" w:eastAsia="en-US"/>
              </w:rPr>
              <w:t>2013-2014 – Organizational Assessments</w:t>
            </w:r>
          </w:p>
          <w:p w14:paraId="3CB4A5A9" w14:textId="79440B47" w:rsidR="00B53557" w:rsidRPr="00FD78F4" w:rsidRDefault="00B53557" w:rsidP="00B53557">
            <w:pPr>
              <w:rPr>
                <w:rFonts w:ascii="Calibri" w:hAnsi="Calibri"/>
                <w:sz w:val="22"/>
                <w:szCs w:val="22"/>
                <w:lang w:val="en-US" w:eastAsia="en-US"/>
              </w:rPr>
            </w:pPr>
          </w:p>
          <w:p w14:paraId="6101A1F1" w14:textId="4F61B039" w:rsidR="00B53557" w:rsidRPr="00BC0089" w:rsidRDefault="00B53557" w:rsidP="00B53557">
            <w:pPr>
              <w:rPr>
                <w:rFonts w:eastAsiaTheme="minorEastAsia"/>
                <w:noProof/>
                <w:lang w:val="uk-UA"/>
              </w:rPr>
            </w:pPr>
            <w:r w:rsidRPr="00FD78F4">
              <w:rPr>
                <w:rFonts w:ascii="Calibri" w:hAnsi="Calibri"/>
                <w:sz w:val="22"/>
                <w:szCs w:val="22"/>
                <w:lang w:val="en-US" w:eastAsia="en-US"/>
              </w:rPr>
              <w:t xml:space="preserve">All selected hubs went through </w:t>
            </w:r>
            <w:r>
              <w:rPr>
                <w:rFonts w:ascii="Calibri" w:hAnsi="Calibri"/>
                <w:sz w:val="22"/>
                <w:szCs w:val="22"/>
                <w:lang w:val="en-US" w:eastAsia="en-US"/>
              </w:rPr>
              <w:t>capacity</w:t>
            </w:r>
            <w:r w:rsidRPr="00FD78F4">
              <w:rPr>
                <w:rFonts w:ascii="Calibri" w:hAnsi="Calibri"/>
                <w:sz w:val="22"/>
                <w:szCs w:val="22"/>
                <w:lang w:val="en-US" w:eastAsia="en-US"/>
              </w:rPr>
              <w:t xml:space="preserve"> assessment</w:t>
            </w:r>
            <w:r w:rsidR="00344BBD">
              <w:rPr>
                <w:rFonts w:ascii="Calibri" w:hAnsi="Calibri"/>
                <w:sz w:val="22"/>
                <w:szCs w:val="22"/>
                <w:lang w:val="en-US" w:eastAsia="en-US"/>
              </w:rPr>
              <w:t>s</w:t>
            </w:r>
            <w:r w:rsidRPr="00FD78F4">
              <w:rPr>
                <w:rFonts w:ascii="Calibri" w:hAnsi="Calibri"/>
                <w:sz w:val="22"/>
                <w:szCs w:val="22"/>
                <w:lang w:val="en-US" w:eastAsia="en-US"/>
              </w:rPr>
              <w:t xml:space="preserve"> </w:t>
            </w:r>
            <w:r>
              <w:rPr>
                <w:rFonts w:ascii="Calibri" w:hAnsi="Calibri"/>
                <w:sz w:val="22"/>
                <w:szCs w:val="22"/>
                <w:lang w:val="en-US" w:eastAsia="en-US"/>
              </w:rPr>
              <w:t xml:space="preserve">based on </w:t>
            </w:r>
            <w:r w:rsidR="008601B0">
              <w:rPr>
                <w:rFonts w:ascii="Calibri" w:hAnsi="Calibri"/>
                <w:sz w:val="22"/>
                <w:szCs w:val="22"/>
                <w:lang w:val="en-US" w:eastAsia="en-US"/>
              </w:rPr>
              <w:t>Participatory Results-Oriented Self-Evaluation (</w:t>
            </w:r>
            <w:r w:rsidRPr="00056DC8">
              <w:rPr>
                <w:rFonts w:ascii="Calibri" w:hAnsi="Calibri"/>
                <w:sz w:val="22"/>
                <w:szCs w:val="22"/>
                <w:lang w:val="en-US" w:eastAsia="en-US"/>
              </w:rPr>
              <w:t>PROSE</w:t>
            </w:r>
            <w:r w:rsidR="008601B0">
              <w:rPr>
                <w:rFonts w:ascii="Calibri" w:hAnsi="Calibri"/>
                <w:sz w:val="22"/>
                <w:szCs w:val="22"/>
                <w:lang w:val="en-US" w:eastAsia="en-US"/>
              </w:rPr>
              <w:t>)</w:t>
            </w:r>
            <w:r w:rsidRPr="00056DC8">
              <w:rPr>
                <w:rFonts w:ascii="Calibri" w:hAnsi="Calibri"/>
                <w:sz w:val="22"/>
                <w:szCs w:val="22"/>
                <w:lang w:val="en-US" w:eastAsia="en-US"/>
              </w:rPr>
              <w:t xml:space="preserve"> instrument</w:t>
            </w:r>
            <w:r w:rsidR="00344BBD">
              <w:rPr>
                <w:rFonts w:ascii="Calibri" w:hAnsi="Calibri"/>
                <w:sz w:val="22"/>
                <w:szCs w:val="22"/>
                <w:lang w:val="en-US" w:eastAsia="en-US"/>
              </w:rPr>
              <w:t>s</w:t>
            </w:r>
            <w:r w:rsidRPr="00056DC8">
              <w:rPr>
                <w:rFonts w:ascii="Calibri" w:hAnsi="Calibri"/>
                <w:sz w:val="22"/>
                <w:szCs w:val="22"/>
                <w:lang w:val="en-US" w:eastAsia="en-US"/>
              </w:rPr>
              <w:t xml:space="preserve">, commonly referred to in DHRP practice as the ‘‘three circles’’ assessment tool </w:t>
            </w:r>
            <w:r>
              <w:rPr>
                <w:rFonts w:ascii="Calibri" w:hAnsi="Calibri"/>
                <w:sz w:val="22"/>
                <w:szCs w:val="22"/>
                <w:lang w:val="en-US" w:eastAsia="en-US"/>
              </w:rPr>
              <w:t>(</w:t>
            </w:r>
            <w:r w:rsidRPr="00056DC8">
              <w:rPr>
                <w:rFonts w:ascii="Calibri" w:hAnsi="Calibri"/>
                <w:sz w:val="22"/>
                <w:szCs w:val="22"/>
                <w:lang w:val="en-US" w:eastAsia="en-US"/>
              </w:rPr>
              <w:t>developed for UNDP Ukraine by Intrac in 2013 and finalised after a pilot study in 2014</w:t>
            </w:r>
            <w:r>
              <w:rPr>
                <w:rFonts w:ascii="Calibri" w:hAnsi="Calibri"/>
                <w:sz w:val="22"/>
                <w:szCs w:val="22"/>
                <w:lang w:val="en-US" w:eastAsia="en-US"/>
              </w:rPr>
              <w:t>)</w:t>
            </w:r>
            <w:r w:rsidR="0093359E">
              <w:rPr>
                <w:rFonts w:ascii="Calibri" w:hAnsi="Calibri"/>
                <w:sz w:val="22"/>
                <w:szCs w:val="22"/>
                <w:lang w:val="en-US" w:eastAsia="en-US"/>
              </w:rPr>
              <w:t>. The selected hubs</w:t>
            </w:r>
            <w:r>
              <w:rPr>
                <w:rFonts w:ascii="Calibri" w:hAnsi="Calibri"/>
                <w:sz w:val="22"/>
                <w:szCs w:val="22"/>
                <w:lang w:val="en-US" w:eastAsia="en-US"/>
              </w:rPr>
              <w:t xml:space="preserve"> </w:t>
            </w:r>
            <w:r w:rsidRPr="00FD78F4">
              <w:rPr>
                <w:rFonts w:ascii="Calibri" w:hAnsi="Calibri"/>
                <w:sz w:val="22"/>
                <w:szCs w:val="22"/>
                <w:lang w:val="en-US" w:eastAsia="en-US"/>
              </w:rPr>
              <w:t>received</w:t>
            </w:r>
            <w:r w:rsidR="0093359E">
              <w:rPr>
                <w:rFonts w:ascii="Calibri" w:hAnsi="Calibri"/>
                <w:sz w:val="22"/>
                <w:szCs w:val="22"/>
                <w:lang w:val="en-US" w:eastAsia="en-US"/>
              </w:rPr>
              <w:t xml:space="preserve"> a</w:t>
            </w:r>
            <w:r w:rsidRPr="00FD78F4">
              <w:rPr>
                <w:rFonts w:ascii="Calibri" w:hAnsi="Calibri"/>
                <w:sz w:val="22"/>
                <w:szCs w:val="22"/>
                <w:lang w:val="en-US" w:eastAsia="en-US"/>
              </w:rPr>
              <w:t xml:space="preserve"> comprehensive picture of </w:t>
            </w:r>
            <w:r w:rsidR="0093359E">
              <w:rPr>
                <w:rFonts w:ascii="Calibri" w:hAnsi="Calibri"/>
                <w:sz w:val="22"/>
                <w:szCs w:val="22"/>
                <w:lang w:val="en-US" w:eastAsia="en-US"/>
              </w:rPr>
              <w:t xml:space="preserve">areas of focus </w:t>
            </w:r>
            <w:r w:rsidRPr="00FD78F4">
              <w:rPr>
                <w:rFonts w:ascii="Calibri" w:hAnsi="Calibri"/>
                <w:sz w:val="22"/>
                <w:szCs w:val="22"/>
                <w:lang w:val="en-US" w:eastAsia="en-US"/>
              </w:rPr>
              <w:t>for development in 4 areas of work:</w:t>
            </w:r>
            <w:r>
              <w:rPr>
                <w:rFonts w:ascii="Calibri" w:hAnsi="Calibri"/>
                <w:sz w:val="22"/>
                <w:szCs w:val="22"/>
                <w:lang w:val="en-US" w:eastAsia="en-US"/>
              </w:rPr>
              <w:t xml:space="preserve"> </w:t>
            </w:r>
            <w:r w:rsidRPr="004F1BA0">
              <w:rPr>
                <w:rFonts w:asciiTheme="minorHAnsi" w:hAnsiTheme="minorHAnsi" w:cstheme="minorHAnsi"/>
                <w:i/>
                <w:sz w:val="22"/>
                <w:szCs w:val="22"/>
              </w:rPr>
              <w:t>i) democratic governance, ii)</w:t>
            </w:r>
            <w:r>
              <w:rPr>
                <w:rFonts w:asciiTheme="minorHAnsi" w:hAnsiTheme="minorHAnsi" w:cstheme="minorHAnsi"/>
                <w:i/>
                <w:sz w:val="22"/>
                <w:szCs w:val="22"/>
                <w:lang w:val="uk-UA"/>
              </w:rPr>
              <w:t xml:space="preserve"> </w:t>
            </w:r>
            <w:r w:rsidRPr="004F1BA0">
              <w:rPr>
                <w:rFonts w:asciiTheme="minorHAnsi" w:hAnsiTheme="minorHAnsi" w:cstheme="minorHAnsi"/>
                <w:i/>
                <w:sz w:val="22"/>
                <w:szCs w:val="22"/>
              </w:rPr>
              <w:t>financial sustainability, iii) membership and volunteer management, iv) advocacy</w:t>
            </w:r>
            <w:r>
              <w:rPr>
                <w:rFonts w:asciiTheme="minorHAnsi" w:hAnsiTheme="minorHAnsi" w:cstheme="minorHAnsi"/>
                <w:i/>
                <w:sz w:val="22"/>
                <w:szCs w:val="22"/>
                <w:lang w:val="uk-UA"/>
              </w:rPr>
              <w:t xml:space="preserve">. </w:t>
            </w:r>
          </w:p>
          <w:p w14:paraId="553C7206" w14:textId="7700491C" w:rsidR="00B53557" w:rsidRPr="00056DC8" w:rsidRDefault="00B53557" w:rsidP="00B53557">
            <w:pPr>
              <w:rPr>
                <w:rFonts w:ascii="Calibri" w:hAnsi="Calibri"/>
                <w:sz w:val="22"/>
                <w:szCs w:val="22"/>
                <w:lang w:eastAsia="en-US"/>
              </w:rPr>
            </w:pPr>
          </w:p>
          <w:p w14:paraId="71E0E863" w14:textId="63E5D586" w:rsidR="00B53557" w:rsidRPr="0048634F" w:rsidRDefault="00B53557" w:rsidP="00B53557">
            <w:pPr>
              <w:rPr>
                <w:rFonts w:ascii="Calibri" w:hAnsi="Calibri"/>
                <w:b/>
                <w:color w:val="1F497D" w:themeColor="text2"/>
                <w:sz w:val="22"/>
                <w:szCs w:val="22"/>
                <w:lang w:val="en-US" w:eastAsia="en-US"/>
              </w:rPr>
            </w:pPr>
            <w:r w:rsidRPr="0048634F">
              <w:rPr>
                <w:rFonts w:ascii="Calibri" w:hAnsi="Calibri"/>
                <w:b/>
                <w:color w:val="1F497D" w:themeColor="text2"/>
                <w:sz w:val="22"/>
                <w:szCs w:val="22"/>
                <w:lang w:val="en-US" w:eastAsia="en-US"/>
              </w:rPr>
              <w:t>2014-2015 -  Institutional Support and Mentorship</w:t>
            </w:r>
          </w:p>
          <w:p w14:paraId="033D6BB2" w14:textId="6659425C" w:rsidR="00B53557" w:rsidRPr="00FD78F4" w:rsidRDefault="00B53557" w:rsidP="00B53557">
            <w:pPr>
              <w:rPr>
                <w:rFonts w:ascii="Calibri" w:hAnsi="Calibri"/>
                <w:sz w:val="22"/>
                <w:szCs w:val="22"/>
                <w:lang w:val="en-US" w:eastAsia="en-US"/>
              </w:rPr>
            </w:pPr>
          </w:p>
          <w:p w14:paraId="6B349470" w14:textId="77777777" w:rsidR="00B53557" w:rsidRPr="00FD78F4" w:rsidRDefault="00B53557" w:rsidP="00B53557">
            <w:pPr>
              <w:rPr>
                <w:rFonts w:ascii="Calibri" w:hAnsi="Calibri"/>
                <w:sz w:val="22"/>
                <w:szCs w:val="22"/>
                <w:lang w:val="en-US" w:eastAsia="en-US"/>
              </w:rPr>
            </w:pPr>
            <w:r w:rsidRPr="00FD78F4">
              <w:rPr>
                <w:rFonts w:ascii="Calibri" w:hAnsi="Calibri"/>
                <w:sz w:val="22"/>
                <w:szCs w:val="22"/>
                <w:lang w:val="en-US" w:eastAsia="en-US"/>
              </w:rPr>
              <w:t>Based on the results of the assessment, all 8 CSOs worked on strengthening 4 organizational areas and undergone rigorous exercises in each area to improve their scores:</w:t>
            </w:r>
          </w:p>
          <w:p w14:paraId="5B2F8851" w14:textId="77777777" w:rsidR="00B53557" w:rsidRPr="00FD78F4" w:rsidRDefault="00B53557" w:rsidP="00B53557">
            <w:pPr>
              <w:rPr>
                <w:rFonts w:ascii="Calibri" w:hAnsi="Calibri"/>
                <w:sz w:val="22"/>
                <w:szCs w:val="22"/>
                <w:lang w:val="en-US" w:eastAsia="en-US"/>
              </w:rPr>
            </w:pPr>
          </w:p>
          <w:p w14:paraId="498D808A" w14:textId="669757D5" w:rsidR="00B53557" w:rsidRPr="00FD78F4" w:rsidRDefault="00B53557" w:rsidP="008962E4">
            <w:pPr>
              <w:pStyle w:val="ListParagraph"/>
              <w:numPr>
                <w:ilvl w:val="0"/>
                <w:numId w:val="21"/>
              </w:numPr>
              <w:rPr>
                <w:rFonts w:ascii="Calibri" w:hAnsi="Calibri"/>
                <w:sz w:val="22"/>
                <w:szCs w:val="22"/>
                <w:lang w:val="en-US" w:eastAsia="en-US"/>
              </w:rPr>
            </w:pPr>
            <w:r w:rsidRPr="00FD78F4">
              <w:rPr>
                <w:rFonts w:ascii="Calibri" w:hAnsi="Calibri"/>
                <w:sz w:val="22"/>
                <w:szCs w:val="22"/>
                <w:u w:val="single"/>
                <w:lang w:val="en-US" w:eastAsia="en-US"/>
              </w:rPr>
              <w:t>Democratic governance:</w:t>
            </w:r>
            <w:r w:rsidRPr="00FD78F4">
              <w:rPr>
                <w:rFonts w:ascii="Calibri" w:hAnsi="Calibri"/>
                <w:sz w:val="22"/>
                <w:szCs w:val="22"/>
                <w:lang w:val="en-US" w:eastAsia="en-US"/>
              </w:rPr>
              <w:t xml:space="preserve"> Strategic plan</w:t>
            </w:r>
            <w:r w:rsidR="0091356A">
              <w:rPr>
                <w:rFonts w:ascii="Calibri" w:hAnsi="Calibri"/>
                <w:sz w:val="22"/>
                <w:szCs w:val="22"/>
                <w:lang w:val="en-US" w:eastAsia="en-US"/>
              </w:rPr>
              <w:t>ning</w:t>
            </w:r>
            <w:r w:rsidRPr="00FD78F4">
              <w:rPr>
                <w:rFonts w:ascii="Calibri" w:hAnsi="Calibri"/>
                <w:sz w:val="22"/>
                <w:szCs w:val="22"/>
                <w:lang w:val="en-US" w:eastAsia="en-US"/>
              </w:rPr>
              <w:t xml:space="preserve"> development, defining management structure</w:t>
            </w:r>
            <w:r w:rsidR="0091356A">
              <w:rPr>
                <w:rFonts w:ascii="Calibri" w:hAnsi="Calibri"/>
                <w:sz w:val="22"/>
                <w:szCs w:val="22"/>
                <w:lang w:val="en-US" w:eastAsia="en-US"/>
              </w:rPr>
              <w:t>s</w:t>
            </w:r>
            <w:r w:rsidRPr="00FD78F4">
              <w:rPr>
                <w:rFonts w:ascii="Calibri" w:hAnsi="Calibri"/>
                <w:sz w:val="22"/>
                <w:szCs w:val="22"/>
                <w:lang w:val="en-US" w:eastAsia="en-US"/>
              </w:rPr>
              <w:t>, improving management tools (policies, rules, procedures), developing ethical principles and preventing corruption</w:t>
            </w:r>
          </w:p>
          <w:p w14:paraId="5489044D" w14:textId="6114658E" w:rsidR="00B53557" w:rsidRPr="00FD78F4" w:rsidRDefault="00B53557" w:rsidP="008962E4">
            <w:pPr>
              <w:pStyle w:val="ListParagraph"/>
              <w:numPr>
                <w:ilvl w:val="0"/>
                <w:numId w:val="21"/>
              </w:numPr>
              <w:rPr>
                <w:rFonts w:ascii="Calibri" w:hAnsi="Calibri"/>
                <w:sz w:val="22"/>
                <w:szCs w:val="22"/>
                <w:lang w:val="en-US" w:eastAsia="en-US"/>
              </w:rPr>
            </w:pPr>
            <w:r w:rsidRPr="00FD78F4">
              <w:rPr>
                <w:rFonts w:ascii="Calibri" w:hAnsi="Calibri"/>
                <w:sz w:val="22"/>
                <w:szCs w:val="22"/>
                <w:u w:val="single"/>
                <w:lang w:val="en-US" w:eastAsia="en-US"/>
              </w:rPr>
              <w:t>Constituency</w:t>
            </w:r>
            <w:r w:rsidRPr="00FD78F4">
              <w:rPr>
                <w:rFonts w:ascii="Calibri" w:hAnsi="Calibri"/>
                <w:sz w:val="22"/>
                <w:szCs w:val="22"/>
                <w:lang w:val="en-US" w:eastAsia="en-US"/>
              </w:rPr>
              <w:t>: Designing systems to recruit and maintain members and volunteers, developing new programmes for target groups</w:t>
            </w:r>
          </w:p>
          <w:p w14:paraId="2776D378" w14:textId="2EBA7AB2" w:rsidR="00B53557" w:rsidRPr="00FD78F4" w:rsidRDefault="00B53557" w:rsidP="008962E4">
            <w:pPr>
              <w:pStyle w:val="ListParagraph"/>
              <w:numPr>
                <w:ilvl w:val="0"/>
                <w:numId w:val="21"/>
              </w:numPr>
              <w:rPr>
                <w:rFonts w:ascii="Calibri" w:hAnsi="Calibri"/>
                <w:sz w:val="22"/>
                <w:szCs w:val="22"/>
                <w:lang w:val="en-US" w:eastAsia="en-US"/>
              </w:rPr>
            </w:pPr>
            <w:r w:rsidRPr="00FD78F4">
              <w:rPr>
                <w:rFonts w:ascii="Calibri" w:hAnsi="Calibri"/>
                <w:sz w:val="22"/>
                <w:szCs w:val="22"/>
                <w:u w:val="single"/>
                <w:lang w:val="en-US" w:eastAsia="en-US"/>
              </w:rPr>
              <w:t>Financial sustainability:</w:t>
            </w:r>
            <w:r w:rsidRPr="00FD78F4">
              <w:rPr>
                <w:rFonts w:ascii="Calibri" w:hAnsi="Calibri"/>
                <w:sz w:val="22"/>
                <w:szCs w:val="22"/>
                <w:lang w:val="en-US" w:eastAsia="en-US"/>
              </w:rPr>
              <w:t xml:space="preserve"> Strengthening financial control and resources (sources of funding, their diversification and planning)</w:t>
            </w:r>
          </w:p>
          <w:p w14:paraId="029FD252" w14:textId="5734A66F" w:rsidR="00B53557" w:rsidRPr="009227DE" w:rsidRDefault="00B53557" w:rsidP="008962E4">
            <w:pPr>
              <w:pStyle w:val="ListParagraph"/>
              <w:numPr>
                <w:ilvl w:val="0"/>
                <w:numId w:val="21"/>
              </w:numPr>
              <w:rPr>
                <w:rFonts w:ascii="Calibri" w:hAnsi="Calibri"/>
                <w:sz w:val="22"/>
                <w:szCs w:val="22"/>
                <w:lang w:val="en-US" w:eastAsia="en-US"/>
              </w:rPr>
            </w:pPr>
            <w:r w:rsidRPr="00FD78F4">
              <w:rPr>
                <w:rFonts w:ascii="Calibri" w:hAnsi="Calibri"/>
                <w:sz w:val="22"/>
                <w:szCs w:val="22"/>
                <w:u w:val="single"/>
                <w:lang w:val="en-US" w:eastAsia="en-US"/>
              </w:rPr>
              <w:t>Advocacy:</w:t>
            </w:r>
            <w:r w:rsidRPr="00FD78F4">
              <w:rPr>
                <w:rFonts w:ascii="Calibri" w:hAnsi="Calibri"/>
                <w:sz w:val="22"/>
                <w:szCs w:val="22"/>
                <w:lang w:val="en-US" w:eastAsia="en-US"/>
              </w:rPr>
              <w:t xml:space="preserve"> Planning promotion of topics related to democratization and human rights, lobbying for civil interests, conducting strategic analysis of stakeholders relations (government, business, civil society) in line with the organizational mission and goals</w:t>
            </w:r>
          </w:p>
          <w:p w14:paraId="0953B432" w14:textId="77777777" w:rsidR="00B53557" w:rsidRPr="00FD78F4" w:rsidRDefault="00B53557" w:rsidP="00B53557">
            <w:pPr>
              <w:rPr>
                <w:rFonts w:ascii="Calibri" w:hAnsi="Calibri"/>
                <w:sz w:val="22"/>
                <w:szCs w:val="22"/>
                <w:lang w:val="en-US" w:eastAsia="en-US"/>
              </w:rPr>
            </w:pPr>
          </w:p>
          <w:p w14:paraId="0B6D067E" w14:textId="38720DF2" w:rsidR="00B53557" w:rsidRPr="0048634F" w:rsidRDefault="00B53557" w:rsidP="00B53557">
            <w:pPr>
              <w:rPr>
                <w:rFonts w:ascii="Calibri" w:hAnsi="Calibri"/>
                <w:b/>
                <w:color w:val="1F497D" w:themeColor="text2"/>
                <w:sz w:val="22"/>
                <w:szCs w:val="22"/>
                <w:lang w:val="en-US" w:eastAsia="en-US"/>
              </w:rPr>
            </w:pPr>
            <w:r w:rsidRPr="0048634F">
              <w:rPr>
                <w:rFonts w:ascii="Calibri" w:hAnsi="Calibri"/>
                <w:b/>
                <w:color w:val="1F497D" w:themeColor="text2"/>
                <w:sz w:val="22"/>
                <w:szCs w:val="22"/>
                <w:lang w:val="en-US" w:eastAsia="en-US"/>
              </w:rPr>
              <w:t xml:space="preserve">2016 – Final Organizational Assessment </w:t>
            </w:r>
          </w:p>
          <w:p w14:paraId="03AB9AF1" w14:textId="62CB745E" w:rsidR="00B53557" w:rsidRDefault="00B53557" w:rsidP="00B53557">
            <w:pPr>
              <w:jc w:val="center"/>
              <w:rPr>
                <w:rFonts w:ascii="Myriad Pro" w:hAnsi="Myriad Pro"/>
                <w:b/>
                <w:sz w:val="20"/>
                <w:szCs w:val="20"/>
              </w:rPr>
            </w:pPr>
          </w:p>
          <w:p w14:paraId="323C3495" w14:textId="4ABA0A53" w:rsidR="00B53557" w:rsidRDefault="00B53557" w:rsidP="00B53557">
            <w:pPr>
              <w:jc w:val="center"/>
              <w:rPr>
                <w:rFonts w:ascii="Myriad Pro" w:hAnsi="Myriad Pro"/>
                <w:b/>
                <w:sz w:val="20"/>
                <w:szCs w:val="20"/>
              </w:rPr>
            </w:pPr>
          </w:p>
          <w:p w14:paraId="5E2AF5F5" w14:textId="77777777" w:rsidR="00B53557" w:rsidRDefault="00B53557" w:rsidP="00B53557">
            <w:pPr>
              <w:jc w:val="center"/>
              <w:rPr>
                <w:rFonts w:ascii="Myriad Pro" w:hAnsi="Myriad Pro"/>
                <w:b/>
                <w:sz w:val="20"/>
                <w:szCs w:val="20"/>
              </w:rPr>
            </w:pPr>
          </w:p>
          <w:p w14:paraId="425BF5BF" w14:textId="47D2F91D" w:rsidR="00B53557" w:rsidRDefault="00B53557" w:rsidP="00B53557">
            <w:pPr>
              <w:jc w:val="center"/>
              <w:rPr>
                <w:rFonts w:ascii="Myriad Pro" w:hAnsi="Myriad Pro"/>
                <w:b/>
                <w:sz w:val="20"/>
                <w:szCs w:val="20"/>
              </w:rPr>
            </w:pPr>
            <w:r>
              <w:rPr>
                <w:rFonts w:ascii="Myriad Pro" w:hAnsi="Myriad Pro"/>
                <w:b/>
                <w:sz w:val="20"/>
                <w:szCs w:val="20"/>
              </w:rPr>
              <w:t>4</w:t>
            </w:r>
            <w:r w:rsidRPr="009847F1">
              <w:rPr>
                <w:rFonts w:ascii="Myriad Pro" w:hAnsi="Myriad Pro"/>
                <w:b/>
                <w:sz w:val="20"/>
                <w:szCs w:val="20"/>
              </w:rPr>
              <w:t xml:space="preserve"> OD </w:t>
            </w:r>
            <w:r>
              <w:rPr>
                <w:rFonts w:ascii="Myriad Pro" w:hAnsi="Myriad Pro"/>
                <w:b/>
                <w:sz w:val="20"/>
                <w:szCs w:val="20"/>
              </w:rPr>
              <w:t>indicators to measure progress: 2013 – 2016 dynamics</w:t>
            </w:r>
          </w:p>
          <w:p w14:paraId="0A8DDB8D" w14:textId="42F09415" w:rsidR="00B53557" w:rsidRDefault="00B53557" w:rsidP="00B53557">
            <w:pPr>
              <w:jc w:val="center"/>
              <w:rPr>
                <w:rFonts w:ascii="Calibri" w:hAnsi="Calibri"/>
                <w:i/>
                <w:sz w:val="22"/>
                <w:szCs w:val="22"/>
                <w:lang w:eastAsia="en-US"/>
              </w:rPr>
            </w:pPr>
            <w:r w:rsidRPr="003A1B32">
              <w:rPr>
                <w:rFonts w:ascii="Myriad Pro" w:hAnsi="Myriad Pro"/>
                <w:i/>
                <w:noProof/>
                <w:sz w:val="16"/>
                <w:szCs w:val="16"/>
                <w:lang w:val="en-US" w:eastAsia="en-US"/>
              </w:rPr>
              <w:drawing>
                <wp:inline distT="0" distB="0" distL="0" distR="0" wp14:anchorId="2F72DB3C" wp14:editId="18CB1BA7">
                  <wp:extent cx="4845132" cy="1834738"/>
                  <wp:effectExtent l="0" t="0" r="0" b="0"/>
                  <wp:docPr id="6" name="Рисунок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cstate="print">
                            <a:extLst>
                              <a:ext uri="{28A0092B-C50C-407E-A947-70E740481C1C}">
                                <a14:useLocalDpi xmlns:a14="http://schemas.microsoft.com/office/drawing/2010/main" val="0"/>
                              </a:ext>
                            </a:extLst>
                          </a:blip>
                          <a:srcRect l="1963"/>
                          <a:stretch/>
                        </pic:blipFill>
                        <pic:spPr>
                          <a:xfrm>
                            <a:off x="0" y="0"/>
                            <a:ext cx="4863192" cy="1841577"/>
                          </a:xfrm>
                          <a:prstGeom prst="rect">
                            <a:avLst/>
                          </a:prstGeom>
                        </pic:spPr>
                      </pic:pic>
                    </a:graphicData>
                  </a:graphic>
                </wp:inline>
              </w:drawing>
            </w:r>
          </w:p>
          <w:p w14:paraId="4CFE7B1E" w14:textId="77777777" w:rsidR="00B53557" w:rsidRPr="000134F4" w:rsidRDefault="00B53557" w:rsidP="00B53557">
            <w:pPr>
              <w:pStyle w:val="FootnoteText"/>
              <w:widowControl w:val="0"/>
              <w:jc w:val="center"/>
              <w:rPr>
                <w:rFonts w:asciiTheme="minorHAnsi" w:hAnsiTheme="minorHAnsi"/>
                <w:i/>
              </w:rPr>
            </w:pPr>
            <w:r w:rsidRPr="000134F4">
              <w:rPr>
                <w:rFonts w:asciiTheme="minorHAnsi" w:hAnsiTheme="minorHAnsi"/>
                <w:b/>
                <w:i/>
              </w:rPr>
              <w:t>Chart 1:</w:t>
            </w:r>
            <w:r w:rsidRPr="000134F4">
              <w:rPr>
                <w:rFonts w:asciiTheme="minorHAnsi" w:hAnsiTheme="minorHAnsi"/>
                <w:i/>
              </w:rPr>
              <w:t xml:space="preserve"> Aggregate performance of Hubs on four indicators in 2013 (baseline) and in 2016</w:t>
            </w:r>
          </w:p>
          <w:p w14:paraId="59C5FCCC" w14:textId="77777777" w:rsidR="00B53557" w:rsidRPr="000134F4" w:rsidRDefault="00B53557" w:rsidP="00B53557">
            <w:pPr>
              <w:pStyle w:val="FootnoteText"/>
              <w:widowControl w:val="0"/>
              <w:jc w:val="center"/>
              <w:rPr>
                <w:rFonts w:asciiTheme="minorHAnsi" w:hAnsiTheme="minorHAnsi"/>
                <w:i/>
              </w:rPr>
            </w:pPr>
            <w:r w:rsidRPr="000134F4">
              <w:rPr>
                <w:rFonts w:asciiTheme="minorHAnsi" w:hAnsiTheme="minorHAnsi"/>
                <w:i/>
              </w:rPr>
              <w:t xml:space="preserve">(maximum 5 points) </w:t>
            </w:r>
          </w:p>
          <w:p w14:paraId="4FCC3726" w14:textId="77777777" w:rsidR="00B53557" w:rsidRDefault="00B53557" w:rsidP="00B53557">
            <w:pPr>
              <w:rPr>
                <w:rFonts w:ascii="Calibri" w:hAnsi="Calibri"/>
                <w:i/>
                <w:sz w:val="22"/>
                <w:szCs w:val="22"/>
                <w:lang w:val="en-US" w:eastAsia="en-US"/>
              </w:rPr>
            </w:pPr>
          </w:p>
          <w:p w14:paraId="7C076DAA" w14:textId="77777777" w:rsidR="00B53557" w:rsidRPr="000134F4" w:rsidRDefault="00B53557" w:rsidP="00B53557">
            <w:pPr>
              <w:rPr>
                <w:rFonts w:ascii="Calibri" w:hAnsi="Calibri"/>
                <w:sz w:val="22"/>
                <w:szCs w:val="22"/>
                <w:lang w:val="en-US" w:eastAsia="en-US"/>
              </w:rPr>
            </w:pPr>
            <w:r w:rsidRPr="006D31BD">
              <w:rPr>
                <w:rFonts w:ascii="Calibri" w:hAnsi="Calibri"/>
                <w:b/>
                <w:bCs/>
                <w:sz w:val="22"/>
                <w:szCs w:val="22"/>
                <w:lang w:val="en-US" w:eastAsia="en-US"/>
              </w:rPr>
              <w:t>Upon the completion of tailored organizational development plans, involving 18 months of in-depth training and mentoring, CSO hubs were enabled to</w:t>
            </w:r>
            <w:r w:rsidRPr="000134F4">
              <w:rPr>
                <w:rFonts w:ascii="Calibri" w:hAnsi="Calibri"/>
                <w:bCs/>
                <w:sz w:val="22"/>
                <w:szCs w:val="22"/>
                <w:lang w:val="en-US" w:eastAsia="en-US"/>
              </w:rPr>
              <w:t>:</w:t>
            </w:r>
          </w:p>
          <w:p w14:paraId="44070E64" w14:textId="77777777"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Serve as regional CSO hubs and benefit over 2,600 CSO representatives and local authorities;</w:t>
            </w:r>
          </w:p>
          <w:p w14:paraId="5DBFE114" w14:textId="6059DC6D"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 xml:space="preserve">Increase </w:t>
            </w:r>
            <w:r w:rsidR="00133F69">
              <w:rPr>
                <w:rFonts w:ascii="Calibri" w:hAnsi="Calibri"/>
                <w:sz w:val="22"/>
                <w:szCs w:val="22"/>
                <w:lang w:val="en-US" w:eastAsia="en-US"/>
              </w:rPr>
              <w:t>CSO</w:t>
            </w:r>
            <w:r w:rsidR="00133F69" w:rsidRPr="009C1EDC">
              <w:rPr>
                <w:rFonts w:ascii="Calibri" w:hAnsi="Calibri"/>
                <w:sz w:val="22"/>
                <w:szCs w:val="22"/>
                <w:lang w:val="en-US" w:eastAsia="en-US"/>
              </w:rPr>
              <w:t xml:space="preserve"> </w:t>
            </w:r>
            <w:r w:rsidRPr="009C1EDC">
              <w:rPr>
                <w:rFonts w:ascii="Calibri" w:hAnsi="Calibri"/>
                <w:sz w:val="22"/>
                <w:szCs w:val="22"/>
                <w:lang w:val="en-US" w:eastAsia="en-US"/>
              </w:rPr>
              <w:t>budgets by 200-400% since 2013 on top of streamlining financial procedures</w:t>
            </w:r>
          </w:p>
          <w:p w14:paraId="252A926F" w14:textId="77777777"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Act as local advocates for democracy and human right strengthening by carrying out 25 local campaigns</w:t>
            </w:r>
          </w:p>
          <w:p w14:paraId="6D4081D1" w14:textId="77777777"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Be governed in democratic and participatory way with strong planning and management systems in place</w:t>
            </w:r>
          </w:p>
          <w:p w14:paraId="5EC1126E" w14:textId="77777777" w:rsidR="00B53557" w:rsidRPr="009C1EDC" w:rsidRDefault="00B53557" w:rsidP="00B53557">
            <w:pPr>
              <w:rPr>
                <w:rFonts w:ascii="Calibri" w:hAnsi="Calibri"/>
                <w:sz w:val="22"/>
                <w:szCs w:val="22"/>
                <w:lang w:eastAsia="en-US"/>
              </w:rPr>
            </w:pPr>
            <w:r w:rsidRPr="009C1EDC">
              <w:rPr>
                <w:rFonts w:ascii="Calibri" w:hAnsi="Calibri"/>
                <w:sz w:val="22"/>
                <w:szCs w:val="22"/>
                <w:lang w:eastAsia="en-US"/>
              </w:rPr>
              <w:t> </w:t>
            </w:r>
          </w:p>
          <w:p w14:paraId="0D40B964" w14:textId="0488FA53" w:rsidR="00B53557" w:rsidRPr="009C1EDC" w:rsidRDefault="00B53557" w:rsidP="00B53557">
            <w:pPr>
              <w:rPr>
                <w:rFonts w:ascii="Calibri" w:hAnsi="Calibri"/>
                <w:sz w:val="22"/>
                <w:szCs w:val="22"/>
                <w:lang w:eastAsia="en-US"/>
              </w:rPr>
            </w:pPr>
            <w:r w:rsidRPr="009C1EDC">
              <w:rPr>
                <w:rFonts w:ascii="Calibri" w:hAnsi="Calibri"/>
                <w:sz w:val="22"/>
                <w:szCs w:val="22"/>
                <w:lang w:val="en-US" w:eastAsia="en-US"/>
              </w:rPr>
              <w:t xml:space="preserve">The </w:t>
            </w:r>
            <w:r w:rsidR="00133F69">
              <w:rPr>
                <w:rFonts w:ascii="Calibri" w:hAnsi="Calibri"/>
                <w:sz w:val="22"/>
                <w:szCs w:val="22"/>
                <w:lang w:val="en-US" w:eastAsia="en-US"/>
              </w:rPr>
              <w:t>p</w:t>
            </w:r>
            <w:r w:rsidRPr="009C1EDC">
              <w:rPr>
                <w:rFonts w:ascii="Calibri" w:hAnsi="Calibri"/>
                <w:sz w:val="22"/>
                <w:szCs w:val="22"/>
                <w:lang w:val="en-US" w:eastAsia="en-US"/>
              </w:rPr>
              <w:t>rogramme sele</w:t>
            </w:r>
            <w:r>
              <w:rPr>
                <w:rFonts w:ascii="Calibri" w:hAnsi="Calibri"/>
                <w:sz w:val="22"/>
                <w:szCs w:val="22"/>
                <w:lang w:val="en-US" w:eastAsia="en-US"/>
              </w:rPr>
              <w:t>cted CSOs were diverse in their</w:t>
            </w:r>
            <w:r w:rsidRPr="009C1EDC">
              <w:rPr>
                <w:rFonts w:ascii="Calibri" w:hAnsi="Calibri"/>
                <w:sz w:val="22"/>
                <w:szCs w:val="22"/>
                <w:lang w:val="en-US" w:eastAsia="en-US"/>
              </w:rPr>
              <w:t xml:space="preserve"> level</w:t>
            </w:r>
            <w:r>
              <w:rPr>
                <w:rFonts w:ascii="Calibri" w:hAnsi="Calibri"/>
                <w:sz w:val="22"/>
                <w:szCs w:val="22"/>
                <w:lang w:val="en-US" w:eastAsia="en-US"/>
              </w:rPr>
              <w:t xml:space="preserve">s of experience, </w:t>
            </w:r>
            <w:r w:rsidRPr="009C1EDC">
              <w:rPr>
                <w:rFonts w:ascii="Calibri" w:hAnsi="Calibri"/>
                <w:sz w:val="22"/>
                <w:szCs w:val="22"/>
                <w:lang w:val="en-US" w:eastAsia="en-US"/>
              </w:rPr>
              <w:t>focus of work</w:t>
            </w:r>
            <w:r>
              <w:rPr>
                <w:rFonts w:ascii="Calibri" w:hAnsi="Calibri"/>
                <w:sz w:val="22"/>
                <w:szCs w:val="22"/>
                <w:lang w:val="en-US" w:eastAsia="en-US"/>
              </w:rPr>
              <w:t xml:space="preserve"> and location</w:t>
            </w:r>
            <w:r w:rsidR="00133F69">
              <w:rPr>
                <w:rFonts w:ascii="Calibri" w:hAnsi="Calibri"/>
                <w:sz w:val="22"/>
                <w:szCs w:val="22"/>
                <w:lang w:val="en-US" w:eastAsia="en-US"/>
              </w:rPr>
              <w:t>,</w:t>
            </w:r>
            <w:r w:rsidRPr="009C1EDC">
              <w:rPr>
                <w:rFonts w:ascii="Calibri" w:hAnsi="Calibri"/>
                <w:sz w:val="22"/>
                <w:szCs w:val="22"/>
                <w:lang w:val="en-US" w:eastAsia="en-US"/>
              </w:rPr>
              <w:t xml:space="preserve"> </w:t>
            </w:r>
            <w:r w:rsidR="00133F69">
              <w:rPr>
                <w:rFonts w:ascii="Calibri" w:hAnsi="Calibri"/>
                <w:sz w:val="22"/>
                <w:szCs w:val="22"/>
                <w:lang w:val="en-US" w:eastAsia="en-US"/>
              </w:rPr>
              <w:t xml:space="preserve">allowing </w:t>
            </w:r>
            <w:r>
              <w:rPr>
                <w:rFonts w:ascii="Calibri" w:hAnsi="Calibri"/>
                <w:sz w:val="22"/>
                <w:szCs w:val="22"/>
                <w:lang w:val="en-US" w:eastAsia="en-US"/>
              </w:rPr>
              <w:t>CSO h</w:t>
            </w:r>
            <w:r w:rsidRPr="009C1EDC">
              <w:rPr>
                <w:rFonts w:ascii="Calibri" w:hAnsi="Calibri"/>
                <w:sz w:val="22"/>
                <w:szCs w:val="22"/>
                <w:lang w:val="en-US" w:eastAsia="en-US"/>
              </w:rPr>
              <w:t xml:space="preserve">ubs to </w:t>
            </w:r>
            <w:r>
              <w:rPr>
                <w:rFonts w:ascii="Calibri" w:hAnsi="Calibri"/>
                <w:sz w:val="22"/>
                <w:szCs w:val="22"/>
                <w:lang w:val="en-US" w:eastAsia="en-US"/>
              </w:rPr>
              <w:t>mentor</w:t>
            </w:r>
            <w:r w:rsidRPr="009C1EDC">
              <w:rPr>
                <w:rFonts w:ascii="Calibri" w:hAnsi="Calibri"/>
                <w:sz w:val="22"/>
                <w:szCs w:val="22"/>
                <w:lang w:val="en-US" w:eastAsia="en-US"/>
              </w:rPr>
              <w:t xml:space="preserve"> each other within the network and grow in their influence at the sub-national and regional levels. </w:t>
            </w:r>
            <w:r w:rsidR="00133F69">
              <w:rPr>
                <w:rFonts w:ascii="Calibri" w:hAnsi="Calibri"/>
                <w:sz w:val="22"/>
                <w:szCs w:val="22"/>
                <w:lang w:eastAsia="en-US"/>
              </w:rPr>
              <w:t>This fulfilled</w:t>
            </w:r>
            <w:r w:rsidR="00133F69" w:rsidRPr="009C1EDC">
              <w:rPr>
                <w:rFonts w:ascii="Calibri" w:hAnsi="Calibri"/>
                <w:sz w:val="22"/>
                <w:szCs w:val="22"/>
                <w:lang w:eastAsia="en-US"/>
              </w:rPr>
              <w:t xml:space="preserve"> </w:t>
            </w:r>
            <w:r w:rsidR="00133F69">
              <w:rPr>
                <w:rFonts w:ascii="Calibri" w:hAnsi="Calibri"/>
                <w:sz w:val="22"/>
                <w:szCs w:val="22"/>
                <w:lang w:eastAsia="en-US"/>
              </w:rPr>
              <w:t xml:space="preserve">CSOs </w:t>
            </w:r>
            <w:r w:rsidRPr="009C1EDC">
              <w:rPr>
                <w:rFonts w:ascii="Calibri" w:hAnsi="Calibri"/>
                <w:sz w:val="22"/>
                <w:szCs w:val="22"/>
                <w:lang w:eastAsia="en-US"/>
              </w:rPr>
              <w:t>role</w:t>
            </w:r>
            <w:r w:rsidR="00133F69">
              <w:rPr>
                <w:rFonts w:ascii="Calibri" w:hAnsi="Calibri"/>
                <w:sz w:val="22"/>
                <w:szCs w:val="22"/>
                <w:lang w:eastAsia="en-US"/>
              </w:rPr>
              <w:t>s</w:t>
            </w:r>
            <w:r w:rsidRPr="009C1EDC">
              <w:rPr>
                <w:rFonts w:ascii="Calibri" w:hAnsi="Calibri"/>
                <w:sz w:val="22"/>
                <w:szCs w:val="22"/>
                <w:lang w:eastAsia="en-US"/>
              </w:rPr>
              <w:t xml:space="preserve"> as regional-level drivers of change, DHRP-nurtured CSO hubs were actively engaged in promotion of reforms at the subnational level. </w:t>
            </w:r>
            <w:r w:rsidRPr="006D31BD">
              <w:rPr>
                <w:rFonts w:ascii="Calibri" w:hAnsi="Calibri"/>
                <w:b/>
                <w:sz w:val="22"/>
                <w:szCs w:val="22"/>
                <w:lang w:eastAsia="en-US"/>
              </w:rPr>
              <w:t>Some of the results of hubs-facilitated initiatives include:</w:t>
            </w:r>
            <w:r w:rsidRPr="009C1EDC">
              <w:rPr>
                <w:rFonts w:ascii="Calibri" w:hAnsi="Calibri"/>
                <w:sz w:val="22"/>
                <w:szCs w:val="22"/>
                <w:lang w:eastAsia="en-US"/>
              </w:rPr>
              <w:t> </w:t>
            </w:r>
          </w:p>
          <w:p w14:paraId="0714F751" w14:textId="77777777"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A development strategy was designed for 10 amalgamated communities</w:t>
            </w:r>
          </w:p>
          <w:p w14:paraId="4A608490" w14:textId="7259170B"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Hubs conducted analys</w:t>
            </w:r>
            <w:r w:rsidR="008B206D">
              <w:rPr>
                <w:rFonts w:ascii="Calibri" w:hAnsi="Calibri"/>
                <w:sz w:val="22"/>
                <w:szCs w:val="22"/>
                <w:lang w:eastAsia="en-US"/>
              </w:rPr>
              <w:t>e</w:t>
            </w:r>
            <w:r w:rsidRPr="009C1EDC">
              <w:rPr>
                <w:rFonts w:ascii="Calibri" w:hAnsi="Calibri"/>
                <w:sz w:val="22"/>
                <w:szCs w:val="22"/>
                <w:lang w:eastAsia="en-US"/>
              </w:rPr>
              <w:t>s of first steps for decentralization reform</w:t>
            </w:r>
            <w:r w:rsidR="008B206D">
              <w:rPr>
                <w:rFonts w:ascii="Calibri" w:hAnsi="Calibri"/>
                <w:sz w:val="22"/>
                <w:szCs w:val="22"/>
                <w:lang w:eastAsia="en-US"/>
              </w:rPr>
              <w:t>s</w:t>
            </w:r>
            <w:r w:rsidRPr="009C1EDC">
              <w:rPr>
                <w:rFonts w:ascii="Calibri" w:hAnsi="Calibri"/>
                <w:sz w:val="22"/>
                <w:szCs w:val="22"/>
                <w:lang w:eastAsia="en-US"/>
              </w:rPr>
              <w:t xml:space="preserve"> and amalgamation of communities</w:t>
            </w:r>
            <w:r w:rsidR="008B206D">
              <w:rPr>
                <w:rFonts w:ascii="Calibri" w:hAnsi="Calibri"/>
                <w:sz w:val="22"/>
                <w:szCs w:val="22"/>
                <w:lang w:eastAsia="en-US"/>
              </w:rPr>
              <w:t>, which were</w:t>
            </w:r>
            <w:r w:rsidRPr="009C1EDC">
              <w:rPr>
                <w:rFonts w:ascii="Calibri" w:hAnsi="Calibri"/>
                <w:sz w:val="22"/>
                <w:szCs w:val="22"/>
                <w:lang w:eastAsia="en-US"/>
              </w:rPr>
              <w:t xml:space="preserve"> discussed </w:t>
            </w:r>
            <w:r w:rsidR="008B206D">
              <w:rPr>
                <w:rFonts w:ascii="Calibri" w:hAnsi="Calibri"/>
                <w:sz w:val="22"/>
                <w:szCs w:val="22"/>
                <w:lang w:eastAsia="en-US"/>
              </w:rPr>
              <w:t xml:space="preserve">over </w:t>
            </w:r>
            <w:r w:rsidRPr="009C1EDC">
              <w:rPr>
                <w:rFonts w:ascii="Calibri" w:hAnsi="Calibri"/>
                <w:sz w:val="22"/>
                <w:szCs w:val="22"/>
                <w:lang w:eastAsia="en-US"/>
              </w:rPr>
              <w:t xml:space="preserve">6 round tables, a forum, and several meetings on the subnational level with over 600 participants in </w:t>
            </w:r>
            <w:r w:rsidR="008B206D">
              <w:rPr>
                <w:rFonts w:ascii="Calibri" w:hAnsi="Calibri"/>
                <w:sz w:val="22"/>
                <w:szCs w:val="22"/>
                <w:lang w:eastAsia="en-US"/>
              </w:rPr>
              <w:t>3</w:t>
            </w:r>
            <w:r w:rsidRPr="009C1EDC">
              <w:rPr>
                <w:rFonts w:ascii="Calibri" w:hAnsi="Calibri"/>
                <w:sz w:val="22"/>
                <w:szCs w:val="22"/>
                <w:lang w:eastAsia="en-US"/>
              </w:rPr>
              <w:t xml:space="preserve"> regions. </w:t>
            </w:r>
          </w:p>
          <w:p w14:paraId="73CA739B" w14:textId="5ED5E76C"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 xml:space="preserve">4 CSO Hubs from Lviv, Chernihiv, </w:t>
            </w:r>
            <w:r w:rsidR="00DE7248">
              <w:rPr>
                <w:rFonts w:ascii="Calibri" w:hAnsi="Calibri"/>
                <w:sz w:val="22"/>
                <w:szCs w:val="22"/>
                <w:lang w:eastAsia="en-US"/>
              </w:rPr>
              <w:t xml:space="preserve">Kropyvnytskyi (former </w:t>
            </w:r>
            <w:r w:rsidRPr="009C1EDC">
              <w:rPr>
                <w:rFonts w:ascii="Calibri" w:hAnsi="Calibri"/>
                <w:sz w:val="22"/>
                <w:szCs w:val="22"/>
                <w:lang w:eastAsia="en-US"/>
              </w:rPr>
              <w:t>Kirovohrad</w:t>
            </w:r>
            <w:r w:rsidR="00DE7248">
              <w:rPr>
                <w:rFonts w:ascii="Calibri" w:hAnsi="Calibri"/>
                <w:sz w:val="22"/>
                <w:szCs w:val="22"/>
                <w:lang w:eastAsia="en-US"/>
              </w:rPr>
              <w:t>)</w:t>
            </w:r>
            <w:r w:rsidRPr="009C1EDC">
              <w:rPr>
                <w:rFonts w:ascii="Calibri" w:hAnsi="Calibri"/>
                <w:sz w:val="22"/>
                <w:szCs w:val="22"/>
                <w:lang w:eastAsia="en-US"/>
              </w:rPr>
              <w:t xml:space="preserve">, and Rivne conducted </w:t>
            </w:r>
            <w:r w:rsidR="00E539EF">
              <w:rPr>
                <w:rFonts w:ascii="Calibri" w:hAnsi="Calibri"/>
                <w:sz w:val="22"/>
                <w:szCs w:val="22"/>
                <w:lang w:eastAsia="en-US"/>
              </w:rPr>
              <w:t xml:space="preserve">numerous </w:t>
            </w:r>
            <w:r w:rsidRPr="009C1EDC">
              <w:rPr>
                <w:rFonts w:ascii="Calibri" w:hAnsi="Calibri"/>
                <w:sz w:val="22"/>
                <w:szCs w:val="22"/>
                <w:lang w:eastAsia="en-US"/>
              </w:rPr>
              <w:t>human rights courses for new patrol police officers in their cities. Over 1,250 patrol police officers took part in human rights training courses conducted by these Hubs</w:t>
            </w:r>
          </w:p>
          <w:p w14:paraId="38C205B5" w14:textId="4F1BFFC3"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Lviv CSO hub</w:t>
            </w:r>
            <w:r w:rsidR="00E539EF">
              <w:rPr>
                <w:rFonts w:ascii="Calibri" w:hAnsi="Calibri"/>
                <w:sz w:val="22"/>
                <w:szCs w:val="22"/>
                <w:lang w:eastAsia="en-US"/>
              </w:rPr>
              <w:t>s</w:t>
            </w:r>
            <w:r w:rsidRPr="009C1EDC">
              <w:rPr>
                <w:rFonts w:ascii="Calibri" w:hAnsi="Calibri"/>
                <w:sz w:val="22"/>
                <w:szCs w:val="22"/>
                <w:lang w:eastAsia="en-US"/>
              </w:rPr>
              <w:t xml:space="preserve"> conducted training on </w:t>
            </w:r>
            <w:r w:rsidR="00E539EF">
              <w:rPr>
                <w:rFonts w:ascii="Calibri" w:hAnsi="Calibri"/>
                <w:sz w:val="22"/>
                <w:szCs w:val="22"/>
                <w:lang w:eastAsia="en-US"/>
              </w:rPr>
              <w:t xml:space="preserve">the </w:t>
            </w:r>
            <w:r w:rsidRPr="009C1EDC">
              <w:rPr>
                <w:rFonts w:ascii="Calibri" w:hAnsi="Calibri"/>
                <w:sz w:val="22"/>
                <w:szCs w:val="22"/>
                <w:lang w:eastAsia="en-US"/>
              </w:rPr>
              <w:t>prevention of family violence and human trafficking for 38 police officers</w:t>
            </w:r>
          </w:p>
          <w:p w14:paraId="6C319C32" w14:textId="11B9AF84"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 xml:space="preserve">4 pilot regions developed and adopted </w:t>
            </w:r>
            <w:r>
              <w:rPr>
                <w:rFonts w:ascii="Calibri" w:hAnsi="Calibri"/>
                <w:sz w:val="22"/>
                <w:szCs w:val="22"/>
                <w:lang w:val="en-US" w:eastAsia="en-US"/>
              </w:rPr>
              <w:t xml:space="preserve">subnational programmes on facilitating the civil society development in line with the National Strategy on </w:t>
            </w:r>
            <w:r w:rsidR="00E539EF">
              <w:rPr>
                <w:rFonts w:ascii="Calibri" w:hAnsi="Calibri"/>
                <w:sz w:val="22"/>
                <w:szCs w:val="22"/>
                <w:lang w:val="en-US" w:eastAsia="en-US"/>
              </w:rPr>
              <w:t xml:space="preserve">the </w:t>
            </w:r>
            <w:r>
              <w:rPr>
                <w:rFonts w:ascii="Calibri" w:hAnsi="Calibri"/>
                <w:sz w:val="22"/>
                <w:szCs w:val="22"/>
                <w:lang w:val="en-US" w:eastAsia="en-US"/>
              </w:rPr>
              <w:t>Facilitation of Civil Society Development (2016-2020),</w:t>
            </w:r>
            <w:r w:rsidRPr="00C14A82">
              <w:rPr>
                <w:rFonts w:ascii="Calibri" w:hAnsi="Calibri"/>
                <w:sz w:val="22"/>
                <w:lang w:val="en-US"/>
              </w:rPr>
              <w:t xml:space="preserve"> </w:t>
            </w:r>
            <w:r w:rsidRPr="009C1EDC">
              <w:rPr>
                <w:rFonts w:ascii="Calibri" w:hAnsi="Calibri"/>
                <w:sz w:val="22"/>
                <w:szCs w:val="22"/>
                <w:lang w:eastAsia="en-US"/>
              </w:rPr>
              <w:t>involving over 1,300 stakeholders</w:t>
            </w:r>
          </w:p>
          <w:p w14:paraId="706C7D79" w14:textId="77777777" w:rsidR="00B53557" w:rsidRPr="009C1EDC" w:rsidRDefault="00B53557" w:rsidP="00B53557">
            <w:pPr>
              <w:rPr>
                <w:rFonts w:ascii="Calibri" w:hAnsi="Calibri"/>
                <w:sz w:val="22"/>
                <w:szCs w:val="22"/>
                <w:lang w:eastAsia="en-US"/>
              </w:rPr>
            </w:pPr>
            <w:r w:rsidRPr="009C1EDC">
              <w:rPr>
                <w:rFonts w:ascii="Calibri" w:hAnsi="Calibri"/>
                <w:sz w:val="22"/>
                <w:szCs w:val="22"/>
                <w:lang w:eastAsia="en-US"/>
              </w:rPr>
              <w:t> </w:t>
            </w:r>
          </w:p>
          <w:p w14:paraId="091FE949" w14:textId="1A68AFA6" w:rsidR="00B53557" w:rsidRPr="009C1EDC" w:rsidRDefault="00B53557" w:rsidP="00B53557">
            <w:pPr>
              <w:rPr>
                <w:rFonts w:ascii="Calibri" w:hAnsi="Calibri"/>
                <w:sz w:val="22"/>
                <w:szCs w:val="22"/>
                <w:lang w:eastAsia="en-US"/>
              </w:rPr>
            </w:pPr>
            <w:r w:rsidRPr="009C1EDC">
              <w:rPr>
                <w:rFonts w:ascii="Calibri" w:hAnsi="Calibri"/>
                <w:sz w:val="22"/>
                <w:szCs w:val="22"/>
                <w:lang w:eastAsia="en-US"/>
              </w:rPr>
              <w:t>As noted in the Monitoring Mission Report (May 2017), both at national and regional level</w:t>
            </w:r>
            <w:r w:rsidR="00E539EF">
              <w:rPr>
                <w:rFonts w:ascii="Calibri" w:hAnsi="Calibri"/>
                <w:sz w:val="22"/>
                <w:szCs w:val="22"/>
                <w:lang w:eastAsia="en-US"/>
              </w:rPr>
              <w:t>,</w:t>
            </w:r>
            <w:r w:rsidRPr="009C1EDC">
              <w:rPr>
                <w:rFonts w:ascii="Calibri" w:hAnsi="Calibri"/>
                <w:sz w:val="22"/>
                <w:szCs w:val="22"/>
                <w:lang w:eastAsia="en-US"/>
              </w:rPr>
              <w:t xml:space="preserve"> DHRP has, as part of implementing the programme, </w:t>
            </w:r>
            <w:r w:rsidRPr="009C1EDC">
              <w:rPr>
                <w:rFonts w:ascii="Calibri" w:hAnsi="Calibri"/>
                <w:b/>
                <w:bCs/>
                <w:sz w:val="22"/>
                <w:szCs w:val="22"/>
                <w:lang w:eastAsia="en-US"/>
              </w:rPr>
              <w:t xml:space="preserve">played a crucial role in </w:t>
            </w:r>
            <w:r w:rsidR="00E539EF">
              <w:rPr>
                <w:rFonts w:ascii="Calibri" w:hAnsi="Calibri"/>
                <w:b/>
                <w:bCs/>
                <w:sz w:val="22"/>
                <w:szCs w:val="22"/>
                <w:lang w:eastAsia="en-US"/>
              </w:rPr>
              <w:t xml:space="preserve">the </w:t>
            </w:r>
            <w:r w:rsidRPr="009C1EDC">
              <w:rPr>
                <w:rFonts w:ascii="Calibri" w:hAnsi="Calibri"/>
                <w:b/>
                <w:bCs/>
                <w:sz w:val="22"/>
                <w:szCs w:val="22"/>
                <w:lang w:eastAsia="en-US"/>
              </w:rPr>
              <w:t>capacity development of both state institutions and CSOs</w:t>
            </w:r>
            <w:r w:rsidRPr="009C1EDC">
              <w:rPr>
                <w:rFonts w:ascii="Calibri" w:hAnsi="Calibri"/>
                <w:sz w:val="22"/>
                <w:szCs w:val="22"/>
                <w:lang w:eastAsia="en-US"/>
              </w:rPr>
              <w:t>, which has been instrumental in the large number of activities, where the various actors have had to collaborate and participate in dialogues with each other.</w:t>
            </w:r>
            <w:r>
              <w:rPr>
                <w:rFonts w:ascii="Calibri" w:hAnsi="Calibri"/>
                <w:sz w:val="22"/>
                <w:szCs w:val="22"/>
                <w:lang w:eastAsia="en-US"/>
              </w:rPr>
              <w:t xml:space="preserve"> </w:t>
            </w:r>
            <w:r w:rsidRPr="009C1EDC">
              <w:rPr>
                <w:rFonts w:ascii="Calibri" w:hAnsi="Calibri"/>
                <w:sz w:val="22"/>
                <w:szCs w:val="22"/>
                <w:lang w:eastAsia="en-US"/>
              </w:rPr>
              <w:t xml:space="preserve">The award of the grant of almost EUR 1 million by the EU delegation to </w:t>
            </w:r>
            <w:r>
              <w:rPr>
                <w:rFonts w:ascii="Calibri" w:hAnsi="Calibri"/>
                <w:sz w:val="22"/>
                <w:szCs w:val="22"/>
                <w:lang w:eastAsia="en-US"/>
              </w:rPr>
              <w:t>the hubs’ network</w:t>
            </w:r>
            <w:r w:rsidR="007C6FAB">
              <w:rPr>
                <w:rFonts w:ascii="Calibri" w:hAnsi="Calibri"/>
                <w:sz w:val="22"/>
                <w:szCs w:val="22"/>
                <w:lang w:eastAsia="en-US"/>
              </w:rPr>
              <w:t>,</w:t>
            </w:r>
            <w:r>
              <w:rPr>
                <w:rFonts w:ascii="Calibri" w:hAnsi="Calibri"/>
                <w:sz w:val="22"/>
                <w:szCs w:val="22"/>
                <w:lang w:eastAsia="en-US"/>
              </w:rPr>
              <w:t xml:space="preserve"> through one of the Hubs </w:t>
            </w:r>
            <w:r w:rsidRPr="009C1EDC">
              <w:rPr>
                <w:rFonts w:ascii="Calibri" w:hAnsi="Calibri"/>
                <w:sz w:val="22"/>
                <w:szCs w:val="22"/>
                <w:lang w:eastAsia="en-US"/>
              </w:rPr>
              <w:t>to continue empowering local CSOs in rural and remote areas</w:t>
            </w:r>
            <w:r w:rsidR="007C6FAB">
              <w:rPr>
                <w:rFonts w:ascii="Calibri" w:hAnsi="Calibri"/>
                <w:sz w:val="22"/>
                <w:szCs w:val="22"/>
                <w:lang w:eastAsia="en-US"/>
              </w:rPr>
              <w:t>,</w:t>
            </w:r>
            <w:r w:rsidRPr="009C1EDC">
              <w:rPr>
                <w:rFonts w:ascii="Calibri" w:hAnsi="Calibri"/>
                <w:sz w:val="22"/>
                <w:szCs w:val="22"/>
                <w:lang w:eastAsia="en-US"/>
              </w:rPr>
              <w:t xml:space="preserve"> serves as strong evidence of the ef</w:t>
            </w:r>
            <w:r>
              <w:rPr>
                <w:rFonts w:ascii="Calibri" w:hAnsi="Calibri"/>
                <w:sz w:val="22"/>
                <w:szCs w:val="22"/>
                <w:lang w:eastAsia="en-US"/>
              </w:rPr>
              <w:t>fectiveness and trust that the h</w:t>
            </w:r>
            <w:r w:rsidRPr="009C1EDC">
              <w:rPr>
                <w:rFonts w:ascii="Calibri" w:hAnsi="Calibri"/>
                <w:sz w:val="22"/>
                <w:szCs w:val="22"/>
                <w:lang w:eastAsia="en-US"/>
              </w:rPr>
              <w:t xml:space="preserve">ubs established in communities around the country. </w:t>
            </w:r>
            <w:r w:rsidR="002E7F70">
              <w:rPr>
                <w:rFonts w:ascii="Calibri" w:hAnsi="Calibri"/>
                <w:sz w:val="22"/>
                <w:szCs w:val="22"/>
                <w:lang w:eastAsia="en-US"/>
              </w:rPr>
              <w:t xml:space="preserve">Summary of the results of CSO hubs’ final organisational assessment is given in Annex 2. </w:t>
            </w:r>
          </w:p>
          <w:p w14:paraId="2845537D" w14:textId="77777777" w:rsidR="00B53557" w:rsidRPr="009C1EDC" w:rsidRDefault="00B53557" w:rsidP="00B53557">
            <w:pPr>
              <w:rPr>
                <w:rFonts w:ascii="Calibri" w:hAnsi="Calibri"/>
                <w:sz w:val="22"/>
                <w:szCs w:val="22"/>
                <w:lang w:eastAsia="en-US"/>
              </w:rPr>
            </w:pPr>
            <w:r w:rsidRPr="009C1EDC">
              <w:rPr>
                <w:rFonts w:ascii="Calibri" w:hAnsi="Calibri"/>
                <w:sz w:val="22"/>
                <w:szCs w:val="22"/>
                <w:lang w:eastAsia="en-US"/>
              </w:rPr>
              <w:t> </w:t>
            </w:r>
          </w:p>
          <w:p w14:paraId="06A09E35" w14:textId="420EBDBC" w:rsidR="00B53557" w:rsidRPr="009C1EDC" w:rsidRDefault="00B53557" w:rsidP="00B53557">
            <w:pPr>
              <w:rPr>
                <w:rFonts w:ascii="Calibri" w:hAnsi="Calibri"/>
                <w:sz w:val="22"/>
                <w:szCs w:val="22"/>
                <w:lang w:val="en-US" w:eastAsia="en-US"/>
              </w:rPr>
            </w:pPr>
            <w:r>
              <w:rPr>
                <w:rFonts w:ascii="Calibri" w:hAnsi="Calibri"/>
                <w:b/>
                <w:bCs/>
                <w:sz w:val="22"/>
                <w:szCs w:val="22"/>
                <w:lang w:val="en-US" w:eastAsia="en-US"/>
              </w:rPr>
              <w:t>The h</w:t>
            </w:r>
            <w:r w:rsidRPr="009C1EDC">
              <w:rPr>
                <w:rFonts w:ascii="Calibri" w:hAnsi="Calibri"/>
                <w:b/>
                <w:bCs/>
                <w:sz w:val="22"/>
                <w:szCs w:val="22"/>
                <w:lang w:val="en-US" w:eastAsia="en-US"/>
              </w:rPr>
              <w:t>ubs continue to play crucial roles in their communities:</w:t>
            </w:r>
          </w:p>
          <w:p w14:paraId="5AE208C8" w14:textId="7BFB82FB" w:rsidR="00B53557" w:rsidRPr="009C1EDC" w:rsidRDefault="006C78E9" w:rsidP="008962E4">
            <w:pPr>
              <w:numPr>
                <w:ilvl w:val="0"/>
                <w:numId w:val="21"/>
              </w:numPr>
              <w:textAlignment w:val="center"/>
              <w:rPr>
                <w:rFonts w:ascii="Calibri" w:hAnsi="Calibri"/>
                <w:sz w:val="22"/>
                <w:szCs w:val="22"/>
                <w:lang w:val="en-US" w:eastAsia="en-US"/>
              </w:rPr>
            </w:pPr>
            <w:r>
              <w:rPr>
                <w:rFonts w:ascii="Calibri" w:hAnsi="Calibri"/>
                <w:sz w:val="22"/>
                <w:szCs w:val="22"/>
                <w:lang w:val="en-US" w:eastAsia="en-US"/>
              </w:rPr>
              <w:t>S</w:t>
            </w:r>
            <w:r w:rsidR="00B53557">
              <w:rPr>
                <w:rFonts w:ascii="Calibri" w:hAnsi="Calibri"/>
                <w:sz w:val="22"/>
                <w:szCs w:val="22"/>
                <w:lang w:val="en-US" w:eastAsia="en-US"/>
              </w:rPr>
              <w:t>erv</w:t>
            </w:r>
            <w:r>
              <w:rPr>
                <w:rFonts w:ascii="Calibri" w:hAnsi="Calibri"/>
                <w:sz w:val="22"/>
                <w:szCs w:val="22"/>
                <w:lang w:val="en-US" w:eastAsia="en-US"/>
              </w:rPr>
              <w:t>ing</w:t>
            </w:r>
            <w:r w:rsidR="00B53557">
              <w:rPr>
                <w:rFonts w:ascii="Calibri" w:hAnsi="Calibri"/>
                <w:sz w:val="22"/>
                <w:szCs w:val="22"/>
                <w:lang w:val="en-US" w:eastAsia="en-US"/>
              </w:rPr>
              <w:t xml:space="preserve"> as c</w:t>
            </w:r>
            <w:r w:rsidR="00B53557" w:rsidRPr="009C1EDC">
              <w:rPr>
                <w:rFonts w:ascii="Calibri" w:hAnsi="Calibri"/>
                <w:sz w:val="22"/>
                <w:szCs w:val="22"/>
                <w:lang w:val="en-US" w:eastAsia="en-US"/>
              </w:rPr>
              <w:t xml:space="preserve">entres for the best practices in </w:t>
            </w:r>
            <w:r w:rsidR="003E206E" w:rsidRPr="009C1EDC">
              <w:rPr>
                <w:rFonts w:ascii="Calibri" w:hAnsi="Calibri"/>
                <w:sz w:val="22"/>
                <w:szCs w:val="22"/>
                <w:lang w:val="en-US" w:eastAsia="en-US"/>
              </w:rPr>
              <w:t>volunteers’</w:t>
            </w:r>
            <w:r w:rsidR="00B53557" w:rsidRPr="009C1EDC">
              <w:rPr>
                <w:rFonts w:ascii="Calibri" w:hAnsi="Calibri"/>
                <w:sz w:val="22"/>
                <w:szCs w:val="22"/>
                <w:lang w:val="en-US" w:eastAsia="en-US"/>
              </w:rPr>
              <w:t xml:space="preserve"> management and community mobilization</w:t>
            </w:r>
          </w:p>
          <w:p w14:paraId="153A0B59" w14:textId="70C0E42A"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Offer</w:t>
            </w:r>
            <w:r w:rsidR="006C78E9">
              <w:rPr>
                <w:rFonts w:ascii="Calibri" w:hAnsi="Calibri"/>
                <w:sz w:val="22"/>
                <w:szCs w:val="22"/>
                <w:lang w:val="en-US" w:eastAsia="en-US"/>
              </w:rPr>
              <w:t>ing</w:t>
            </w:r>
            <w:r w:rsidRPr="009C1EDC">
              <w:rPr>
                <w:rFonts w:ascii="Calibri" w:hAnsi="Calibri"/>
                <w:sz w:val="22"/>
                <w:szCs w:val="22"/>
                <w:lang w:val="en-US" w:eastAsia="en-US"/>
              </w:rPr>
              <w:t xml:space="preserve"> support to the new CSOs and initiative groups</w:t>
            </w:r>
          </w:p>
          <w:p w14:paraId="24C1534C" w14:textId="4330D134" w:rsidR="00B53557" w:rsidRPr="009C1EDC" w:rsidRDefault="00B53557" w:rsidP="008962E4">
            <w:pPr>
              <w:numPr>
                <w:ilvl w:val="0"/>
                <w:numId w:val="21"/>
              </w:numPr>
              <w:textAlignment w:val="center"/>
              <w:rPr>
                <w:rFonts w:ascii="Calibri" w:hAnsi="Calibri"/>
                <w:sz w:val="22"/>
                <w:szCs w:val="22"/>
                <w:lang w:val="en-US" w:eastAsia="en-US"/>
              </w:rPr>
            </w:pPr>
            <w:r>
              <w:rPr>
                <w:rFonts w:ascii="Calibri" w:hAnsi="Calibri"/>
                <w:sz w:val="22"/>
                <w:szCs w:val="22"/>
                <w:lang w:val="en-US" w:eastAsia="en-US"/>
              </w:rPr>
              <w:t>Provid</w:t>
            </w:r>
            <w:r w:rsidR="006C78E9">
              <w:rPr>
                <w:rFonts w:ascii="Calibri" w:hAnsi="Calibri"/>
                <w:sz w:val="22"/>
                <w:szCs w:val="22"/>
                <w:lang w:val="en-US" w:eastAsia="en-US"/>
              </w:rPr>
              <w:t>ing</w:t>
            </w:r>
            <w:r>
              <w:rPr>
                <w:rFonts w:ascii="Calibri" w:hAnsi="Calibri"/>
                <w:sz w:val="22"/>
                <w:szCs w:val="22"/>
                <w:lang w:val="en-US" w:eastAsia="en-US"/>
              </w:rPr>
              <w:t xml:space="preserve"> input and/or d</w:t>
            </w:r>
            <w:r w:rsidRPr="009C1EDC">
              <w:rPr>
                <w:rFonts w:ascii="Calibri" w:hAnsi="Calibri"/>
                <w:sz w:val="22"/>
                <w:szCs w:val="22"/>
                <w:lang w:val="en-US" w:eastAsia="en-US"/>
              </w:rPr>
              <w:t xml:space="preserve">raft policy documents </w:t>
            </w:r>
          </w:p>
          <w:p w14:paraId="41F85B01" w14:textId="42D696FA" w:rsidR="00B53557" w:rsidRPr="009C1EDC" w:rsidRDefault="004A227A" w:rsidP="008962E4">
            <w:pPr>
              <w:numPr>
                <w:ilvl w:val="0"/>
                <w:numId w:val="21"/>
              </w:numPr>
              <w:textAlignment w:val="center"/>
              <w:rPr>
                <w:rFonts w:ascii="Calibri" w:hAnsi="Calibri"/>
                <w:sz w:val="22"/>
                <w:szCs w:val="22"/>
                <w:lang w:val="en-US" w:eastAsia="en-US"/>
              </w:rPr>
            </w:pPr>
            <w:r>
              <w:rPr>
                <w:rFonts w:ascii="Calibri" w:hAnsi="Calibri"/>
                <w:sz w:val="22"/>
                <w:szCs w:val="22"/>
                <w:lang w:val="en-US" w:eastAsia="en-US"/>
              </w:rPr>
              <w:t>Serving</w:t>
            </w:r>
            <w:r w:rsidRPr="009C1EDC">
              <w:rPr>
                <w:rFonts w:ascii="Calibri" w:hAnsi="Calibri"/>
                <w:sz w:val="22"/>
                <w:szCs w:val="22"/>
                <w:lang w:val="en-US" w:eastAsia="en-US"/>
              </w:rPr>
              <w:t xml:space="preserve"> </w:t>
            </w:r>
            <w:r w:rsidR="00B53557" w:rsidRPr="009C1EDC">
              <w:rPr>
                <w:rFonts w:ascii="Calibri" w:hAnsi="Calibri"/>
                <w:sz w:val="22"/>
                <w:szCs w:val="22"/>
                <w:lang w:val="en-US" w:eastAsia="en-US"/>
              </w:rPr>
              <w:t>as partners of choice for reforms related to policing, justice and elections in amalgamated communities</w:t>
            </w:r>
          </w:p>
          <w:p w14:paraId="2AE39328" w14:textId="3D6ABB8E" w:rsidR="00B53557" w:rsidRPr="009C1EDC" w:rsidRDefault="004A227A" w:rsidP="008962E4">
            <w:pPr>
              <w:numPr>
                <w:ilvl w:val="0"/>
                <w:numId w:val="21"/>
              </w:numPr>
              <w:textAlignment w:val="center"/>
              <w:rPr>
                <w:rFonts w:ascii="Calibri" w:hAnsi="Calibri"/>
                <w:sz w:val="22"/>
                <w:szCs w:val="22"/>
                <w:lang w:val="en-US" w:eastAsia="en-US"/>
              </w:rPr>
            </w:pPr>
            <w:r>
              <w:rPr>
                <w:rFonts w:ascii="Calibri" w:hAnsi="Calibri"/>
                <w:sz w:val="22"/>
                <w:szCs w:val="22"/>
                <w:lang w:val="en-US" w:eastAsia="en-US"/>
              </w:rPr>
              <w:t>Advocating</w:t>
            </w:r>
            <w:r w:rsidR="00B53557" w:rsidRPr="009C1EDC">
              <w:rPr>
                <w:rFonts w:ascii="Calibri" w:hAnsi="Calibri"/>
                <w:sz w:val="22"/>
                <w:szCs w:val="22"/>
                <w:lang w:val="en-US" w:eastAsia="en-US"/>
              </w:rPr>
              <w:t xml:space="preserve"> for local inclusive decision-making</w:t>
            </w:r>
          </w:p>
          <w:p w14:paraId="77913CBF" w14:textId="5E126DF2"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Debunk</w:t>
            </w:r>
            <w:r w:rsidR="004A227A">
              <w:rPr>
                <w:rFonts w:ascii="Calibri" w:hAnsi="Calibri"/>
                <w:sz w:val="22"/>
                <w:szCs w:val="22"/>
                <w:lang w:val="en-US" w:eastAsia="en-US"/>
              </w:rPr>
              <w:t>ing</w:t>
            </w:r>
            <w:r w:rsidRPr="009C1EDC">
              <w:rPr>
                <w:rFonts w:ascii="Calibri" w:hAnsi="Calibri"/>
                <w:sz w:val="22"/>
                <w:szCs w:val="22"/>
                <w:lang w:val="en-US" w:eastAsia="en-US"/>
              </w:rPr>
              <w:t xml:space="preserve"> propaganda and serve as defenders of the right of access to information</w:t>
            </w:r>
          </w:p>
          <w:p w14:paraId="19D455B6" w14:textId="4CCBDFBD"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Develop</w:t>
            </w:r>
            <w:r w:rsidR="004A227A">
              <w:rPr>
                <w:rFonts w:ascii="Calibri" w:hAnsi="Calibri"/>
                <w:sz w:val="22"/>
                <w:szCs w:val="22"/>
                <w:lang w:val="en-US" w:eastAsia="en-US"/>
              </w:rPr>
              <w:t>ing</w:t>
            </w:r>
            <w:r w:rsidRPr="009C1EDC">
              <w:rPr>
                <w:rFonts w:ascii="Calibri" w:hAnsi="Calibri"/>
                <w:sz w:val="22"/>
                <w:szCs w:val="22"/>
                <w:lang w:val="en-US" w:eastAsia="en-US"/>
              </w:rPr>
              <w:t xml:space="preserve"> social enterprises that benefit communities</w:t>
            </w:r>
          </w:p>
          <w:p w14:paraId="0899478B" w14:textId="25167E94" w:rsidR="00B53557" w:rsidRPr="009C1EDC" w:rsidRDefault="00B53557" w:rsidP="008962E4">
            <w:pPr>
              <w:numPr>
                <w:ilvl w:val="0"/>
                <w:numId w:val="21"/>
              </w:numPr>
              <w:textAlignment w:val="center"/>
              <w:rPr>
                <w:rFonts w:ascii="Calibri" w:hAnsi="Calibri"/>
                <w:sz w:val="22"/>
                <w:szCs w:val="22"/>
                <w:lang w:val="en-US" w:eastAsia="en-US"/>
              </w:rPr>
            </w:pPr>
            <w:r w:rsidRPr="009C1EDC">
              <w:rPr>
                <w:rFonts w:ascii="Calibri" w:hAnsi="Calibri"/>
                <w:sz w:val="22"/>
                <w:szCs w:val="22"/>
                <w:lang w:val="en-US" w:eastAsia="en-US"/>
              </w:rPr>
              <w:t>Provid</w:t>
            </w:r>
            <w:r w:rsidR="004A227A">
              <w:rPr>
                <w:rFonts w:ascii="Calibri" w:hAnsi="Calibri"/>
                <w:sz w:val="22"/>
                <w:szCs w:val="22"/>
                <w:lang w:val="en-US" w:eastAsia="en-US"/>
              </w:rPr>
              <w:t>ing</w:t>
            </w:r>
            <w:r w:rsidRPr="009C1EDC">
              <w:rPr>
                <w:rFonts w:ascii="Calibri" w:hAnsi="Calibri"/>
                <w:sz w:val="22"/>
                <w:szCs w:val="22"/>
                <w:lang w:val="en-US" w:eastAsia="en-US"/>
              </w:rPr>
              <w:t xml:space="preserve"> legal assistance</w:t>
            </w:r>
            <w:r w:rsidR="004B0715">
              <w:rPr>
                <w:rFonts w:ascii="Calibri" w:hAnsi="Calibri"/>
                <w:sz w:val="22"/>
                <w:szCs w:val="22"/>
                <w:lang w:val="en-US" w:eastAsia="en-US"/>
              </w:rPr>
              <w:t xml:space="preserve"> for communities including</w:t>
            </w:r>
            <w:r w:rsidRPr="009C1EDC">
              <w:rPr>
                <w:rFonts w:ascii="Calibri" w:hAnsi="Calibri"/>
                <w:sz w:val="22"/>
                <w:szCs w:val="22"/>
                <w:lang w:val="en-US" w:eastAsia="en-US"/>
              </w:rPr>
              <w:t xml:space="preserve"> families of deceased soldiers</w:t>
            </w:r>
            <w:r w:rsidR="004B0715">
              <w:rPr>
                <w:rFonts w:ascii="Calibri" w:hAnsi="Calibri"/>
                <w:sz w:val="22"/>
                <w:szCs w:val="22"/>
                <w:lang w:val="en-US" w:eastAsia="en-US"/>
              </w:rPr>
              <w:t>,</w:t>
            </w:r>
            <w:r w:rsidRPr="009C1EDC">
              <w:rPr>
                <w:rFonts w:ascii="Calibri" w:hAnsi="Calibri"/>
                <w:sz w:val="22"/>
                <w:szCs w:val="22"/>
                <w:lang w:val="en-US" w:eastAsia="en-US"/>
              </w:rPr>
              <w:t xml:space="preserve"> and IDPs</w:t>
            </w:r>
          </w:p>
          <w:p w14:paraId="4C73ACFE" w14:textId="19E1DDDF" w:rsidR="00B53557" w:rsidRDefault="00B53557" w:rsidP="00B53557">
            <w:pPr>
              <w:rPr>
                <w:rFonts w:ascii="Calibri" w:hAnsi="Calibri"/>
                <w:sz w:val="22"/>
                <w:szCs w:val="22"/>
                <w:lang w:val="en-US" w:eastAsia="en-US"/>
              </w:rPr>
            </w:pPr>
            <w:r w:rsidRPr="009C1EDC">
              <w:rPr>
                <w:rFonts w:ascii="Calibri" w:hAnsi="Calibri"/>
                <w:sz w:val="22"/>
                <w:szCs w:val="22"/>
                <w:lang w:val="en-US" w:eastAsia="en-US"/>
              </w:rPr>
              <w:t> </w:t>
            </w:r>
          </w:p>
          <w:p w14:paraId="0CC06B49" w14:textId="5CB49714" w:rsidR="00B53557" w:rsidRPr="009C1EDC" w:rsidRDefault="00B53557" w:rsidP="00B53557">
            <w:pPr>
              <w:rPr>
                <w:rFonts w:ascii="Calibri" w:hAnsi="Calibri"/>
                <w:sz w:val="28"/>
                <w:szCs w:val="28"/>
                <w:lang w:val="en-US" w:eastAsia="en-US"/>
              </w:rPr>
            </w:pPr>
            <w:r>
              <w:rPr>
                <w:rFonts w:ascii="Calibri" w:hAnsi="Calibri"/>
                <w:b/>
                <w:bCs/>
                <w:sz w:val="28"/>
                <w:szCs w:val="28"/>
                <w:lang w:val="en-US" w:eastAsia="en-US"/>
              </w:rPr>
              <w:t>Promoting o</w:t>
            </w:r>
            <w:r w:rsidRPr="009C1EDC">
              <w:rPr>
                <w:rFonts w:ascii="Calibri" w:hAnsi="Calibri"/>
                <w:b/>
                <w:bCs/>
                <w:sz w:val="28"/>
                <w:szCs w:val="28"/>
                <w:lang w:val="en-US" w:eastAsia="en-US"/>
              </w:rPr>
              <w:t xml:space="preserve">penness and </w:t>
            </w:r>
            <w:r>
              <w:rPr>
                <w:rFonts w:ascii="Calibri" w:hAnsi="Calibri"/>
                <w:b/>
                <w:bCs/>
                <w:sz w:val="28"/>
                <w:szCs w:val="28"/>
                <w:lang w:val="en-US" w:eastAsia="en-US"/>
              </w:rPr>
              <w:t>transparency and advancing r</w:t>
            </w:r>
            <w:r w:rsidRPr="009C1EDC">
              <w:rPr>
                <w:rFonts w:ascii="Calibri" w:hAnsi="Calibri"/>
                <w:b/>
                <w:bCs/>
                <w:sz w:val="28"/>
                <w:szCs w:val="28"/>
                <w:lang w:val="en-US" w:eastAsia="en-US"/>
              </w:rPr>
              <w:t>eforms</w:t>
            </w:r>
          </w:p>
          <w:p w14:paraId="4CE08F48" w14:textId="19C237B4" w:rsidR="00B53557" w:rsidRDefault="00B53557" w:rsidP="00B53557">
            <w:pPr>
              <w:rPr>
                <w:rFonts w:ascii="Calibri" w:hAnsi="Calibri"/>
                <w:sz w:val="22"/>
                <w:szCs w:val="22"/>
                <w:lang w:val="en-US" w:eastAsia="en-US"/>
              </w:rPr>
            </w:pPr>
            <w:r w:rsidRPr="009C1EDC">
              <w:rPr>
                <w:rFonts w:ascii="Calibri" w:hAnsi="Calibri"/>
                <w:sz w:val="22"/>
                <w:szCs w:val="22"/>
                <w:lang w:val="en-US" w:eastAsia="en-US"/>
              </w:rPr>
              <w:t> </w:t>
            </w:r>
          </w:p>
          <w:p w14:paraId="1D0A2CC0" w14:textId="21F80363" w:rsidR="00B53557" w:rsidRDefault="00B53557" w:rsidP="00B53557">
            <w:pPr>
              <w:rPr>
                <w:rFonts w:ascii="Calibri" w:hAnsi="Calibri"/>
                <w:sz w:val="22"/>
                <w:szCs w:val="22"/>
                <w:u w:val="single"/>
                <w:lang w:val="en-US" w:eastAsia="en-US"/>
              </w:rPr>
            </w:pPr>
            <w:r>
              <w:rPr>
                <w:rFonts w:ascii="Calibri" w:hAnsi="Calibri"/>
                <w:sz w:val="22"/>
                <w:szCs w:val="22"/>
                <w:u w:val="single"/>
                <w:lang w:val="en-US" w:eastAsia="en-US"/>
              </w:rPr>
              <w:t>Open Government Data</w:t>
            </w:r>
          </w:p>
          <w:p w14:paraId="7C8744C4" w14:textId="3F6882DB" w:rsidR="00B53557" w:rsidRDefault="00B53557" w:rsidP="00B53557">
            <w:pPr>
              <w:rPr>
                <w:rFonts w:ascii="Calibri" w:hAnsi="Calibri"/>
                <w:sz w:val="22"/>
                <w:szCs w:val="22"/>
                <w:u w:val="single"/>
                <w:lang w:val="en-US" w:eastAsia="en-US"/>
              </w:rPr>
            </w:pPr>
          </w:p>
          <w:p w14:paraId="5DE5AD19" w14:textId="6B02BE51" w:rsidR="00B53557" w:rsidRDefault="00B53557" w:rsidP="00B53557">
            <w:pPr>
              <w:rPr>
                <w:rFonts w:ascii="Calibri" w:hAnsi="Calibri"/>
                <w:sz w:val="22"/>
                <w:szCs w:val="22"/>
                <w:lang w:val="en-US" w:eastAsia="en-US"/>
              </w:rPr>
            </w:pPr>
            <w:r w:rsidRPr="009C1EDC">
              <w:rPr>
                <w:rFonts w:ascii="Calibri" w:hAnsi="Calibri"/>
                <w:sz w:val="22"/>
                <w:szCs w:val="22"/>
                <w:lang w:val="en-US" w:eastAsia="en-US"/>
              </w:rPr>
              <w:t xml:space="preserve">The </w:t>
            </w:r>
            <w:r w:rsidR="00150070">
              <w:rPr>
                <w:rFonts w:ascii="Calibri" w:hAnsi="Calibri"/>
                <w:sz w:val="22"/>
                <w:szCs w:val="22"/>
                <w:lang w:val="en-US" w:eastAsia="en-US"/>
              </w:rPr>
              <w:t>p</w:t>
            </w:r>
            <w:r w:rsidRPr="009C1EDC">
              <w:rPr>
                <w:rFonts w:ascii="Calibri" w:hAnsi="Calibri"/>
                <w:sz w:val="22"/>
                <w:szCs w:val="22"/>
                <w:lang w:val="en-US" w:eastAsia="en-US"/>
              </w:rPr>
              <w:t xml:space="preserve">rogramme has been working with Ukrainian partner organizations to </w:t>
            </w:r>
            <w:r w:rsidRPr="009C1EDC">
              <w:rPr>
                <w:rFonts w:ascii="Calibri" w:hAnsi="Calibri"/>
                <w:b/>
                <w:bCs/>
                <w:sz w:val="22"/>
                <w:szCs w:val="22"/>
                <w:lang w:val="en-US" w:eastAsia="en-US"/>
              </w:rPr>
              <w:t>promote open government data</w:t>
            </w:r>
            <w:r w:rsidRPr="009C1EDC">
              <w:rPr>
                <w:rFonts w:ascii="Calibri" w:hAnsi="Calibri"/>
                <w:sz w:val="22"/>
                <w:szCs w:val="22"/>
                <w:lang w:val="en-US" w:eastAsia="en-US"/>
              </w:rPr>
              <w:t xml:space="preserve"> as part of the Ukrainian national reform agenda, to</w:t>
            </w:r>
            <w:r w:rsidRPr="009C1EDC">
              <w:rPr>
                <w:rFonts w:ascii="Calibri" w:hAnsi="Calibri"/>
                <w:b/>
                <w:bCs/>
                <w:sz w:val="22"/>
                <w:szCs w:val="22"/>
                <w:lang w:val="en-US" w:eastAsia="en-US"/>
              </w:rPr>
              <w:t xml:space="preserve"> raise stakeholders' awareness on the benefits of open data</w:t>
            </w:r>
            <w:r w:rsidRPr="009C1EDC">
              <w:rPr>
                <w:rFonts w:ascii="Calibri" w:hAnsi="Calibri"/>
                <w:sz w:val="22"/>
                <w:szCs w:val="22"/>
                <w:lang w:val="en-US" w:eastAsia="en-US"/>
              </w:rPr>
              <w:t xml:space="preserve">, </w:t>
            </w:r>
            <w:r w:rsidRPr="009C1EDC">
              <w:rPr>
                <w:rFonts w:ascii="Calibri" w:hAnsi="Calibri"/>
                <w:b/>
                <w:bCs/>
                <w:sz w:val="22"/>
                <w:szCs w:val="22"/>
                <w:lang w:val="en-US" w:eastAsia="en-US"/>
              </w:rPr>
              <w:t>to reinforce the political will in the field of opening government data</w:t>
            </w:r>
            <w:r w:rsidRPr="009C1EDC">
              <w:rPr>
                <w:rFonts w:ascii="Calibri" w:hAnsi="Calibri"/>
                <w:sz w:val="22"/>
                <w:szCs w:val="22"/>
                <w:lang w:val="en-US" w:eastAsia="en-US"/>
              </w:rPr>
              <w:t xml:space="preserve">, and </w:t>
            </w:r>
            <w:r w:rsidRPr="009C1EDC">
              <w:rPr>
                <w:rFonts w:ascii="Calibri" w:hAnsi="Calibri"/>
                <w:b/>
                <w:bCs/>
                <w:sz w:val="22"/>
                <w:szCs w:val="22"/>
                <w:lang w:val="en-US" w:eastAsia="en-US"/>
              </w:rPr>
              <w:t>to strengthen the public and government support for the development of a favorable legislation on open data</w:t>
            </w:r>
            <w:r w:rsidRPr="009C1EDC">
              <w:rPr>
                <w:rFonts w:ascii="Calibri" w:hAnsi="Calibri"/>
                <w:sz w:val="22"/>
                <w:szCs w:val="22"/>
                <w:lang w:val="en-US" w:eastAsia="en-US"/>
              </w:rPr>
              <w:t xml:space="preserve">. </w:t>
            </w:r>
          </w:p>
          <w:p w14:paraId="6BC9CB9E" w14:textId="37955A3F" w:rsidR="00B53557" w:rsidRDefault="00B53557" w:rsidP="00B53557">
            <w:pPr>
              <w:rPr>
                <w:rFonts w:ascii="Calibri" w:hAnsi="Calibri"/>
                <w:sz w:val="22"/>
                <w:szCs w:val="22"/>
                <w:lang w:val="en-US" w:eastAsia="en-US"/>
              </w:rPr>
            </w:pPr>
          </w:p>
          <w:p w14:paraId="47AA869D" w14:textId="509CA09B" w:rsidR="00B53557" w:rsidRDefault="00B53557" w:rsidP="00B53557">
            <w:pPr>
              <w:rPr>
                <w:rFonts w:ascii="Calibri" w:hAnsi="Calibri"/>
                <w:sz w:val="22"/>
                <w:szCs w:val="22"/>
                <w:lang w:val="en-US" w:eastAsia="en-US"/>
              </w:rPr>
            </w:pPr>
            <w:r>
              <w:rPr>
                <w:rFonts w:ascii="Calibri" w:hAnsi="Calibri"/>
                <w:sz w:val="22"/>
                <w:szCs w:val="22"/>
                <w:lang w:val="en-US" w:eastAsia="en-US"/>
              </w:rPr>
              <w:t xml:space="preserve">This initiative started with </w:t>
            </w:r>
            <w:r w:rsidRPr="009C1EDC">
              <w:rPr>
                <w:rFonts w:ascii="Calibri" w:hAnsi="Calibri"/>
                <w:sz w:val="22"/>
                <w:szCs w:val="22"/>
                <w:lang w:eastAsia="en-US"/>
              </w:rPr>
              <w:t xml:space="preserve">DHRP </w:t>
            </w:r>
            <w:r>
              <w:rPr>
                <w:rFonts w:ascii="Calibri" w:hAnsi="Calibri"/>
                <w:sz w:val="22"/>
                <w:szCs w:val="22"/>
                <w:lang w:val="en-US" w:eastAsia="en-US"/>
              </w:rPr>
              <w:t xml:space="preserve">first piloting open budget information in Lviv, Ternopil and Ivano-Frankivsk municipalities in partnership with the CSOs in 2015. </w:t>
            </w:r>
            <w:r>
              <w:rPr>
                <w:rFonts w:ascii="Calibri" w:hAnsi="Calibri"/>
                <w:sz w:val="22"/>
                <w:szCs w:val="22"/>
                <w:lang w:eastAsia="en-US"/>
              </w:rPr>
              <w:t>The project</w:t>
            </w:r>
            <w:r w:rsidRPr="009C1EDC">
              <w:rPr>
                <w:rFonts w:ascii="Calibri" w:hAnsi="Calibri"/>
                <w:sz w:val="22"/>
                <w:szCs w:val="22"/>
                <w:lang w:eastAsia="en-US"/>
              </w:rPr>
              <w:t xml:space="preserve"> partnered with civil society </w:t>
            </w:r>
            <w:r>
              <w:rPr>
                <w:rFonts w:ascii="Calibri" w:hAnsi="Calibri"/>
                <w:sz w:val="22"/>
                <w:szCs w:val="22"/>
                <w:lang w:eastAsia="en-US"/>
              </w:rPr>
              <w:t xml:space="preserve">(thematic group of the Reanimation Package of Reforms) </w:t>
            </w:r>
            <w:r w:rsidRPr="009C1EDC">
              <w:rPr>
                <w:rFonts w:ascii="Calibri" w:hAnsi="Calibri"/>
                <w:sz w:val="22"/>
                <w:szCs w:val="22"/>
                <w:lang w:eastAsia="en-US"/>
              </w:rPr>
              <w:t xml:space="preserve">and the newly formed National Agency on e-Governance to co-develop </w:t>
            </w:r>
            <w:r>
              <w:rPr>
                <w:rFonts w:ascii="Calibri" w:hAnsi="Calibri"/>
                <w:sz w:val="22"/>
                <w:szCs w:val="22"/>
                <w:lang w:eastAsia="en-US"/>
              </w:rPr>
              <w:t xml:space="preserve">the Law “On introduction of amendments into some laws of Ukraine as to access to public information in form of open data” (the so-called open data legislation). </w:t>
            </w:r>
            <w:r w:rsidRPr="009C1EDC">
              <w:rPr>
                <w:rFonts w:ascii="Calibri" w:hAnsi="Calibri"/>
                <w:sz w:val="22"/>
                <w:szCs w:val="22"/>
                <w:lang w:eastAsia="en-US"/>
              </w:rPr>
              <w:t>Adopted in April of 2015, the law laid out the much needed legislative foundation for opening and publish</w:t>
            </w:r>
            <w:r>
              <w:rPr>
                <w:rFonts w:ascii="Calibri" w:hAnsi="Calibri"/>
                <w:sz w:val="22"/>
                <w:szCs w:val="22"/>
                <w:lang w:eastAsia="en-US"/>
              </w:rPr>
              <w:t xml:space="preserve">ing structured government data. The real breakthrough in government data openness came with the Cabinet of Ministers Resolution that mandated </w:t>
            </w:r>
            <w:r w:rsidR="002046C6">
              <w:rPr>
                <w:rFonts w:ascii="Calibri" w:hAnsi="Calibri"/>
                <w:sz w:val="22"/>
                <w:szCs w:val="22"/>
                <w:lang w:eastAsia="en-US"/>
              </w:rPr>
              <w:t xml:space="preserve">the </w:t>
            </w:r>
            <w:r>
              <w:rPr>
                <w:rFonts w:ascii="Calibri" w:hAnsi="Calibri"/>
                <w:sz w:val="22"/>
                <w:szCs w:val="22"/>
                <w:lang w:eastAsia="en-US"/>
              </w:rPr>
              <w:t xml:space="preserve">disclosure of 331 databases. </w:t>
            </w:r>
            <w:r w:rsidRPr="001A2049">
              <w:rPr>
                <w:rFonts w:ascii="Calibri" w:hAnsi="Calibri"/>
                <w:sz w:val="22"/>
                <w:szCs w:val="22"/>
                <w:lang w:eastAsia="en-US"/>
              </w:rPr>
              <w:t>DHRP</w:t>
            </w:r>
            <w:r>
              <w:rPr>
                <w:rFonts w:ascii="Calibri" w:hAnsi="Calibri"/>
                <w:sz w:val="22"/>
                <w:szCs w:val="22"/>
                <w:lang w:eastAsia="en-US"/>
              </w:rPr>
              <w:t xml:space="preserve"> also </w:t>
            </w:r>
            <w:r w:rsidRPr="001A2049">
              <w:rPr>
                <w:rFonts w:ascii="Calibri" w:hAnsi="Calibri"/>
                <w:sz w:val="22"/>
                <w:szCs w:val="22"/>
                <w:lang w:eastAsia="en-US"/>
              </w:rPr>
              <w:t xml:space="preserve">worked on building capacities of social activists, data journalists, and IT experts to </w:t>
            </w:r>
            <w:r w:rsidRPr="00043659">
              <w:rPr>
                <w:rFonts w:asciiTheme="minorHAnsi" w:hAnsiTheme="minorHAnsi" w:cstheme="minorHAnsi"/>
                <w:sz w:val="22"/>
                <w:szCs w:val="22"/>
              </w:rPr>
              <w:t xml:space="preserve">motivate </w:t>
            </w:r>
            <w:r>
              <w:rPr>
                <w:rFonts w:asciiTheme="minorHAnsi" w:hAnsiTheme="minorHAnsi" w:cstheme="minorHAnsi"/>
                <w:sz w:val="22"/>
                <w:szCs w:val="22"/>
              </w:rPr>
              <w:t xml:space="preserve">them to use </w:t>
            </w:r>
            <w:r w:rsidRPr="00043659">
              <w:rPr>
                <w:rFonts w:asciiTheme="minorHAnsi" w:hAnsiTheme="minorHAnsi" w:cstheme="minorHAnsi"/>
                <w:sz w:val="22"/>
                <w:szCs w:val="22"/>
              </w:rPr>
              <w:t>data and to produce socially important applications and tools based on open data</w:t>
            </w:r>
            <w:r>
              <w:rPr>
                <w:rFonts w:asciiTheme="minorHAnsi" w:hAnsiTheme="minorHAnsi" w:cstheme="minorHAnsi"/>
                <w:sz w:val="22"/>
                <w:szCs w:val="22"/>
              </w:rPr>
              <w:t xml:space="preserve">, thus </w:t>
            </w:r>
            <w:r w:rsidRPr="001A2049">
              <w:rPr>
                <w:rFonts w:ascii="Calibri" w:hAnsi="Calibri"/>
                <w:sz w:val="22"/>
                <w:szCs w:val="22"/>
                <w:lang w:eastAsia="en-US"/>
              </w:rPr>
              <w:t>increas</w:t>
            </w:r>
            <w:r>
              <w:rPr>
                <w:rFonts w:ascii="Calibri" w:hAnsi="Calibri"/>
                <w:sz w:val="22"/>
                <w:szCs w:val="22"/>
                <w:lang w:eastAsia="en-US"/>
              </w:rPr>
              <w:t>ing</w:t>
            </w:r>
            <w:r w:rsidRPr="001A2049">
              <w:rPr>
                <w:rFonts w:ascii="Calibri" w:hAnsi="Calibri"/>
                <w:sz w:val="22"/>
                <w:szCs w:val="22"/>
                <w:lang w:eastAsia="en-US"/>
              </w:rPr>
              <w:t xml:space="preserve"> transparency of </w:t>
            </w:r>
            <w:r w:rsidR="005B4465">
              <w:rPr>
                <w:rFonts w:ascii="Calibri" w:hAnsi="Calibri"/>
                <w:sz w:val="22"/>
                <w:szCs w:val="22"/>
                <w:lang w:eastAsia="en-US"/>
              </w:rPr>
              <w:t xml:space="preserve">the </w:t>
            </w:r>
            <w:r w:rsidRPr="001A2049">
              <w:rPr>
                <w:rFonts w:ascii="Calibri" w:hAnsi="Calibri"/>
                <w:sz w:val="22"/>
                <w:szCs w:val="22"/>
                <w:lang w:eastAsia="en-US"/>
              </w:rPr>
              <w:t>public sector</w:t>
            </w:r>
            <w:r w:rsidRPr="00043659">
              <w:rPr>
                <w:rFonts w:asciiTheme="minorHAnsi" w:hAnsiTheme="minorHAnsi" w:cstheme="minorHAnsi"/>
                <w:sz w:val="22"/>
                <w:szCs w:val="22"/>
                <w:lang w:eastAsia="uk-UA"/>
              </w:rPr>
              <w:t>.</w:t>
            </w:r>
          </w:p>
          <w:p w14:paraId="004E665F" w14:textId="77777777" w:rsidR="00B53557" w:rsidRDefault="00B53557" w:rsidP="00B53557">
            <w:pPr>
              <w:rPr>
                <w:rFonts w:ascii="Calibri" w:hAnsi="Calibri"/>
                <w:sz w:val="22"/>
                <w:szCs w:val="22"/>
                <w:lang w:val="en-US" w:eastAsia="en-US"/>
              </w:rPr>
            </w:pPr>
          </w:p>
          <w:p w14:paraId="4285BE6D" w14:textId="7A5C0906" w:rsidR="00B53557" w:rsidRPr="001A2049" w:rsidRDefault="00B53557" w:rsidP="00B53557">
            <w:pPr>
              <w:rPr>
                <w:rFonts w:ascii="Calibri" w:hAnsi="Calibri"/>
                <w:sz w:val="22"/>
                <w:szCs w:val="22"/>
                <w:lang w:val="en-US" w:eastAsia="en-US"/>
              </w:rPr>
            </w:pPr>
            <w:r>
              <w:rPr>
                <w:rFonts w:ascii="Calibri" w:hAnsi="Calibri"/>
                <w:sz w:val="22"/>
                <w:szCs w:val="22"/>
                <w:lang w:val="en-US" w:eastAsia="en-US"/>
              </w:rPr>
              <w:t xml:space="preserve">In such a way, </w:t>
            </w:r>
            <w:r>
              <w:rPr>
                <w:rFonts w:ascii="Calibri" w:hAnsi="Calibri"/>
                <w:sz w:val="22"/>
                <w:szCs w:val="22"/>
                <w:lang w:eastAsia="en-US"/>
              </w:rPr>
              <w:t>t</w:t>
            </w:r>
            <w:r w:rsidRPr="009C1EDC">
              <w:rPr>
                <w:rFonts w:ascii="Calibri" w:hAnsi="Calibri"/>
                <w:sz w:val="22"/>
                <w:szCs w:val="22"/>
                <w:lang w:eastAsia="en-US"/>
              </w:rPr>
              <w:t>he Programme</w:t>
            </w:r>
            <w:r w:rsidR="00A435E6">
              <w:rPr>
                <w:rFonts w:ascii="Calibri" w:hAnsi="Calibri"/>
                <w:sz w:val="22"/>
                <w:szCs w:val="22"/>
                <w:lang w:eastAsia="en-US"/>
              </w:rPr>
              <w:t>,</w:t>
            </w:r>
            <w:r>
              <w:rPr>
                <w:rFonts w:ascii="Calibri" w:hAnsi="Calibri"/>
                <w:sz w:val="22"/>
                <w:szCs w:val="22"/>
                <w:lang w:eastAsia="en-US"/>
              </w:rPr>
              <w:t xml:space="preserve"> with engagement of</w:t>
            </w:r>
            <w:r w:rsidRPr="009C1EDC">
              <w:rPr>
                <w:rFonts w:ascii="Calibri" w:hAnsi="Calibri"/>
                <w:sz w:val="22"/>
                <w:szCs w:val="22"/>
                <w:lang w:eastAsia="en-US"/>
              </w:rPr>
              <w:t xml:space="preserve"> IT specialists,</w:t>
            </w:r>
            <w:r w:rsidRPr="00C423F6">
              <w:rPr>
                <w:rFonts w:ascii="Calibri" w:hAnsi="Calibri"/>
                <w:sz w:val="22"/>
              </w:rPr>
              <w:t xml:space="preserve"> civil society and </w:t>
            </w:r>
            <w:r w:rsidRPr="009C1EDC">
              <w:rPr>
                <w:rFonts w:ascii="Calibri" w:hAnsi="Calibri"/>
                <w:sz w:val="22"/>
                <w:szCs w:val="22"/>
                <w:lang w:eastAsia="en-US"/>
              </w:rPr>
              <w:t xml:space="preserve">media enabled </w:t>
            </w:r>
            <w:r w:rsidR="00A435E6">
              <w:rPr>
                <w:rFonts w:ascii="Calibri" w:hAnsi="Calibri"/>
                <w:sz w:val="22"/>
                <w:szCs w:val="22"/>
                <w:lang w:eastAsia="en-US"/>
              </w:rPr>
              <w:t>the transformation</w:t>
            </w:r>
            <w:r>
              <w:rPr>
                <w:rFonts w:ascii="Calibri" w:hAnsi="Calibri"/>
                <w:sz w:val="22"/>
                <w:szCs w:val="22"/>
                <w:lang w:eastAsia="en-US"/>
              </w:rPr>
              <w:t xml:space="preserve"> </w:t>
            </w:r>
            <w:r w:rsidR="00A435E6">
              <w:rPr>
                <w:rFonts w:ascii="Calibri" w:hAnsi="Calibri"/>
                <w:sz w:val="22"/>
                <w:szCs w:val="22"/>
                <w:lang w:eastAsia="en-US"/>
              </w:rPr>
              <w:t>of</w:t>
            </w:r>
            <w:r w:rsidRPr="009C1EDC">
              <w:rPr>
                <w:rFonts w:ascii="Calibri" w:hAnsi="Calibri"/>
                <w:sz w:val="22"/>
                <w:szCs w:val="22"/>
                <w:lang w:eastAsia="en-US"/>
              </w:rPr>
              <w:t xml:space="preserve"> </w:t>
            </w:r>
            <w:r w:rsidR="00A435E6">
              <w:rPr>
                <w:rFonts w:ascii="Calibri" w:hAnsi="Calibri"/>
                <w:sz w:val="22"/>
                <w:szCs w:val="22"/>
                <w:lang w:eastAsia="en-US"/>
              </w:rPr>
              <w:t xml:space="preserve">a </w:t>
            </w:r>
            <w:r w:rsidRPr="009C1EDC">
              <w:rPr>
                <w:rFonts w:ascii="Calibri" w:hAnsi="Calibri"/>
                <w:sz w:val="22"/>
                <w:szCs w:val="22"/>
                <w:lang w:eastAsia="en-US"/>
              </w:rPr>
              <w:t>successful pilot initiative</w:t>
            </w:r>
            <w:r>
              <w:rPr>
                <w:rFonts w:ascii="Calibri" w:hAnsi="Calibri"/>
                <w:sz w:val="22"/>
                <w:szCs w:val="22"/>
                <w:lang w:eastAsia="en-US"/>
              </w:rPr>
              <w:t xml:space="preserve"> </w:t>
            </w:r>
            <w:r w:rsidRPr="009C1EDC">
              <w:rPr>
                <w:rFonts w:ascii="Calibri" w:hAnsi="Calibri"/>
                <w:sz w:val="22"/>
                <w:szCs w:val="22"/>
                <w:lang w:eastAsia="en-US"/>
              </w:rPr>
              <w:t>into a nation-wide initiative to encourage state agencies to disclose public information</w:t>
            </w:r>
            <w:r>
              <w:rPr>
                <w:rFonts w:ascii="Calibri" w:hAnsi="Calibri"/>
                <w:sz w:val="22"/>
                <w:szCs w:val="22"/>
                <w:lang w:eastAsia="en-US"/>
              </w:rPr>
              <w:t xml:space="preserve"> in form of open data</w:t>
            </w:r>
            <w:r w:rsidRPr="009C1EDC">
              <w:rPr>
                <w:rFonts w:ascii="Calibri" w:hAnsi="Calibri"/>
                <w:sz w:val="22"/>
                <w:szCs w:val="22"/>
                <w:lang w:eastAsia="en-US"/>
              </w:rPr>
              <w:t>. As of June 2017,</w:t>
            </w:r>
            <w:r>
              <w:rPr>
                <w:rFonts w:ascii="Calibri" w:hAnsi="Calibri"/>
                <w:sz w:val="22"/>
                <w:szCs w:val="22"/>
                <w:lang w:eastAsia="en-US"/>
              </w:rPr>
              <w:t xml:space="preserve"> </w:t>
            </w:r>
            <w:r w:rsidRPr="00C423F6">
              <w:rPr>
                <w:rFonts w:ascii="Calibri" w:hAnsi="Calibri"/>
                <w:b/>
                <w:sz w:val="22"/>
                <w:szCs w:val="22"/>
                <w:lang w:eastAsia="en-US"/>
              </w:rPr>
              <w:t>45+ municipalities use the open budget tool and</w:t>
            </w:r>
            <w:r w:rsidRPr="009C1EDC">
              <w:rPr>
                <w:rFonts w:ascii="Calibri" w:hAnsi="Calibri"/>
                <w:sz w:val="22"/>
                <w:szCs w:val="22"/>
                <w:lang w:eastAsia="en-US"/>
              </w:rPr>
              <w:t xml:space="preserve"> </w:t>
            </w:r>
            <w:r w:rsidRPr="009C1EDC">
              <w:rPr>
                <w:rFonts w:ascii="Calibri" w:hAnsi="Calibri"/>
                <w:b/>
                <w:bCs/>
                <w:sz w:val="22"/>
                <w:szCs w:val="22"/>
                <w:lang w:eastAsia="en-US"/>
              </w:rPr>
              <w:t>over 17,500 datasets are</w:t>
            </w:r>
            <w:r>
              <w:rPr>
                <w:rFonts w:ascii="Calibri" w:hAnsi="Calibri"/>
                <w:b/>
                <w:bCs/>
                <w:sz w:val="22"/>
                <w:szCs w:val="22"/>
                <w:lang w:eastAsia="en-US"/>
              </w:rPr>
              <w:t xml:space="preserve"> open for public on data.gov.ua</w:t>
            </w:r>
            <w:r w:rsidR="00B64CEE">
              <w:rPr>
                <w:rFonts w:ascii="Calibri" w:hAnsi="Calibri"/>
                <w:b/>
                <w:bCs/>
                <w:sz w:val="22"/>
                <w:szCs w:val="22"/>
                <w:lang w:eastAsia="en-US"/>
              </w:rPr>
              <w:t>,</w:t>
            </w:r>
            <w:r>
              <w:rPr>
                <w:rFonts w:ascii="Calibri" w:hAnsi="Calibri"/>
                <w:b/>
                <w:bCs/>
                <w:sz w:val="22"/>
                <w:szCs w:val="22"/>
                <w:lang w:eastAsia="en-US"/>
              </w:rPr>
              <w:t xml:space="preserve"> </w:t>
            </w:r>
            <w:r>
              <w:rPr>
                <w:rFonts w:ascii="Calibri" w:hAnsi="Calibri"/>
                <w:bCs/>
                <w:sz w:val="22"/>
                <w:szCs w:val="22"/>
                <w:lang w:val="en-US" w:eastAsia="en-US"/>
              </w:rPr>
              <w:t>which</w:t>
            </w:r>
            <w:r w:rsidR="00B64CEE">
              <w:rPr>
                <w:rFonts w:ascii="Calibri" w:hAnsi="Calibri"/>
                <w:bCs/>
                <w:sz w:val="22"/>
                <w:szCs w:val="22"/>
                <w:lang w:val="en-US" w:eastAsia="en-US"/>
              </w:rPr>
              <w:t>,</w:t>
            </w:r>
            <w:r>
              <w:rPr>
                <w:rFonts w:ascii="Calibri" w:hAnsi="Calibri"/>
                <w:bCs/>
                <w:sz w:val="22"/>
                <w:szCs w:val="22"/>
                <w:lang w:val="en-US" w:eastAsia="en-US"/>
              </w:rPr>
              <w:t xml:space="preserve"> </w:t>
            </w:r>
            <w:r w:rsidRPr="00C423F6">
              <w:rPr>
                <w:rFonts w:ascii="Calibri" w:hAnsi="Calibri"/>
                <w:sz w:val="22"/>
                <w:szCs w:val="22"/>
                <w:lang w:val="en-US" w:eastAsia="en-US"/>
              </w:rPr>
              <w:t>the Programme</w:t>
            </w:r>
            <w:r w:rsidRPr="00C423F6">
              <w:rPr>
                <w:rFonts w:ascii="Calibri" w:hAnsi="Calibri"/>
                <w:sz w:val="22"/>
                <w:szCs w:val="22"/>
                <w:lang w:eastAsia="en-US"/>
              </w:rPr>
              <w:t xml:space="preserve"> helped to hand over from the CSO developer to the State Agency on E-Governance for the platform sustainability and growth.</w:t>
            </w:r>
            <w:r>
              <w:rPr>
                <w:rFonts w:ascii="Calibri" w:hAnsi="Calibri"/>
                <w:bCs/>
                <w:sz w:val="22"/>
                <w:szCs w:val="22"/>
                <w:lang w:eastAsia="en-US"/>
              </w:rPr>
              <w:t xml:space="preserve"> </w:t>
            </w:r>
          </w:p>
          <w:p w14:paraId="186AC0DC" w14:textId="738547FC" w:rsidR="00B53557" w:rsidRDefault="00B53557" w:rsidP="00B53557">
            <w:pPr>
              <w:rPr>
                <w:rFonts w:ascii="Calibri" w:hAnsi="Calibri"/>
                <w:sz w:val="22"/>
                <w:szCs w:val="22"/>
                <w:lang w:val="en-US" w:eastAsia="en-US"/>
              </w:rPr>
            </w:pPr>
          </w:p>
          <w:p w14:paraId="133D5BBD" w14:textId="37D32E01" w:rsidR="00B53557" w:rsidRDefault="00B53557" w:rsidP="00B53557">
            <w:pPr>
              <w:rPr>
                <w:rFonts w:ascii="Calibri" w:hAnsi="Calibri"/>
                <w:sz w:val="22"/>
                <w:szCs w:val="22"/>
                <w:lang w:eastAsia="en-US"/>
              </w:rPr>
            </w:pPr>
            <w:r>
              <w:rPr>
                <w:rFonts w:ascii="Calibri" w:hAnsi="Calibri"/>
                <w:b/>
                <w:bCs/>
                <w:sz w:val="22"/>
                <w:szCs w:val="22"/>
                <w:lang w:val="en-US" w:eastAsia="en-US"/>
              </w:rPr>
              <w:t>T</w:t>
            </w:r>
            <w:r w:rsidRPr="009C1EDC">
              <w:rPr>
                <w:rFonts w:ascii="Calibri" w:hAnsi="Calibri"/>
                <w:b/>
                <w:bCs/>
                <w:sz w:val="22"/>
                <w:szCs w:val="22"/>
                <w:lang w:eastAsia="en-US"/>
              </w:rPr>
              <w:t>he Open Data Development Roadmap</w:t>
            </w:r>
            <w:r>
              <w:rPr>
                <w:rFonts w:ascii="Calibri" w:hAnsi="Calibri"/>
                <w:b/>
                <w:bCs/>
                <w:sz w:val="22"/>
                <w:szCs w:val="22"/>
                <w:lang w:eastAsia="en-US"/>
              </w:rPr>
              <w:t xml:space="preserve"> (2016) </w:t>
            </w:r>
            <w:r>
              <w:rPr>
                <w:rFonts w:ascii="Calibri" w:hAnsi="Calibri"/>
                <w:bCs/>
                <w:sz w:val="22"/>
                <w:szCs w:val="22"/>
                <w:lang w:eastAsia="en-US"/>
              </w:rPr>
              <w:t>ensured the sustainability and government ownership of the openness initiative for future years.</w:t>
            </w:r>
            <w:r>
              <w:rPr>
                <w:rFonts w:ascii="Calibri" w:hAnsi="Calibri"/>
                <w:sz w:val="22"/>
                <w:szCs w:val="22"/>
                <w:lang w:eastAsia="en-US"/>
              </w:rPr>
              <w:t xml:space="preserve"> The roadmap,</w:t>
            </w:r>
            <w:r w:rsidRPr="009C1EDC">
              <w:rPr>
                <w:rFonts w:ascii="Calibri" w:hAnsi="Calibri"/>
                <w:sz w:val="22"/>
                <w:szCs w:val="22"/>
                <w:lang w:eastAsia="en-US"/>
              </w:rPr>
              <w:t xml:space="preserve"> which contain</w:t>
            </w:r>
            <w:r>
              <w:rPr>
                <w:rFonts w:ascii="Calibri" w:hAnsi="Calibri"/>
                <w:sz w:val="22"/>
                <w:szCs w:val="22"/>
                <w:lang w:eastAsia="en-US"/>
              </w:rPr>
              <w:t>ed</w:t>
            </w:r>
            <w:r w:rsidRPr="009C1EDC">
              <w:rPr>
                <w:rFonts w:ascii="Calibri" w:hAnsi="Calibri"/>
                <w:sz w:val="22"/>
                <w:szCs w:val="22"/>
                <w:lang w:eastAsia="en-US"/>
              </w:rPr>
              <w:t xml:space="preserve"> 41 tasks</w:t>
            </w:r>
            <w:r>
              <w:rPr>
                <w:rFonts w:ascii="Calibri" w:hAnsi="Calibri"/>
                <w:sz w:val="22"/>
                <w:szCs w:val="22"/>
                <w:lang w:eastAsia="en-US"/>
              </w:rPr>
              <w:t>, aimed</w:t>
            </w:r>
            <w:r w:rsidRPr="009C1EDC">
              <w:rPr>
                <w:rFonts w:ascii="Calibri" w:hAnsi="Calibri"/>
                <w:sz w:val="22"/>
                <w:szCs w:val="22"/>
                <w:lang w:eastAsia="en-US"/>
              </w:rPr>
              <w:t xml:space="preserve"> to achieve better data availability, quality, </w:t>
            </w:r>
            <w:r w:rsidR="000C35B9">
              <w:rPr>
                <w:rFonts w:ascii="Calibri" w:hAnsi="Calibri"/>
                <w:sz w:val="22"/>
                <w:szCs w:val="22"/>
                <w:lang w:eastAsia="en-US"/>
              </w:rPr>
              <w:t xml:space="preserve">and </w:t>
            </w:r>
            <w:r w:rsidRPr="009C1EDC">
              <w:rPr>
                <w:rFonts w:ascii="Calibri" w:hAnsi="Calibri"/>
                <w:sz w:val="22"/>
                <w:szCs w:val="22"/>
                <w:lang w:eastAsia="en-US"/>
              </w:rPr>
              <w:t xml:space="preserve">capacity-building of authorities to publish open data, strengthen the role of open data in implementing state policy, providing regulatory support and developing citizen's capabilities to utilize open data. </w:t>
            </w:r>
            <w:r>
              <w:rPr>
                <w:rFonts w:ascii="Calibri" w:hAnsi="Calibri"/>
                <w:sz w:val="22"/>
                <w:szCs w:val="22"/>
                <w:lang w:eastAsia="en-US"/>
              </w:rPr>
              <w:t xml:space="preserve">It was informed by the results of UNDP-funded </w:t>
            </w:r>
            <w:r w:rsidRPr="009C1EDC">
              <w:rPr>
                <w:rFonts w:ascii="Calibri" w:hAnsi="Calibri"/>
                <w:sz w:val="22"/>
                <w:szCs w:val="22"/>
                <w:lang w:eastAsia="en-US"/>
              </w:rPr>
              <w:t xml:space="preserve">Open Data Readiness Assessment </w:t>
            </w:r>
            <w:r>
              <w:rPr>
                <w:rFonts w:ascii="Calibri" w:hAnsi="Calibri"/>
                <w:sz w:val="22"/>
                <w:szCs w:val="22"/>
                <w:lang w:eastAsia="en-US"/>
              </w:rPr>
              <w:t>conducted following the World Bank methodology.</w:t>
            </w:r>
            <w:r w:rsidRPr="009C1EDC">
              <w:rPr>
                <w:rFonts w:ascii="Calibri" w:hAnsi="Calibri"/>
                <w:sz w:val="22"/>
                <w:szCs w:val="22"/>
                <w:lang w:eastAsia="en-US"/>
              </w:rPr>
              <w:t xml:space="preserve"> </w:t>
            </w:r>
            <w:r>
              <w:rPr>
                <w:rFonts w:ascii="Calibri" w:hAnsi="Calibri"/>
                <w:sz w:val="22"/>
                <w:szCs w:val="22"/>
                <w:lang w:eastAsia="en-US"/>
              </w:rPr>
              <w:t>In March 2017, the State Agency reported that the r</w:t>
            </w:r>
            <w:r w:rsidRPr="009C1EDC">
              <w:rPr>
                <w:rFonts w:ascii="Calibri" w:hAnsi="Calibri"/>
                <w:sz w:val="22"/>
                <w:szCs w:val="22"/>
                <w:lang w:eastAsia="en-US"/>
              </w:rPr>
              <w:t xml:space="preserve">oadmap has been implemented by 60%. </w:t>
            </w:r>
          </w:p>
          <w:p w14:paraId="277A9D91" w14:textId="25FB823E" w:rsidR="00B53557" w:rsidRDefault="00B53557" w:rsidP="00B53557">
            <w:pPr>
              <w:rPr>
                <w:rFonts w:ascii="Calibri" w:hAnsi="Calibri"/>
                <w:sz w:val="22"/>
                <w:szCs w:val="22"/>
                <w:lang w:eastAsia="en-US"/>
              </w:rPr>
            </w:pPr>
          </w:p>
          <w:p w14:paraId="3B5B1784" w14:textId="775DD88F" w:rsidR="00B53557" w:rsidRDefault="00B53557" w:rsidP="00B53557">
            <w:pPr>
              <w:rPr>
                <w:rFonts w:asciiTheme="minorHAnsi" w:hAnsiTheme="minorHAnsi" w:cstheme="minorHAnsi"/>
                <w:sz w:val="22"/>
                <w:szCs w:val="22"/>
              </w:rPr>
            </w:pPr>
            <w:r>
              <w:rPr>
                <w:rFonts w:asciiTheme="minorHAnsi" w:hAnsiTheme="minorHAnsi" w:cstheme="minorHAnsi"/>
                <w:sz w:val="22"/>
                <w:szCs w:val="22"/>
                <w:lang w:eastAsia="uk-UA"/>
              </w:rPr>
              <w:t>Best</w:t>
            </w:r>
            <w:r w:rsidRPr="00043659">
              <w:rPr>
                <w:rFonts w:asciiTheme="minorHAnsi" w:hAnsiTheme="minorHAnsi" w:cstheme="minorHAnsi"/>
                <w:sz w:val="22"/>
                <w:szCs w:val="22"/>
                <w:lang w:eastAsia="uk-UA"/>
              </w:rPr>
              <w:t xml:space="preserve"> practices of e-democracy and civic engagement in the promotion of government transparency and accountability based on open data were exchanged </w:t>
            </w:r>
            <w:r>
              <w:rPr>
                <w:rFonts w:asciiTheme="minorHAnsi" w:hAnsiTheme="minorHAnsi" w:cstheme="minorHAnsi"/>
                <w:sz w:val="22"/>
                <w:szCs w:val="22"/>
                <w:lang w:eastAsia="uk-UA"/>
              </w:rPr>
              <w:t xml:space="preserve">with </w:t>
            </w:r>
            <w:r w:rsidRPr="00043659">
              <w:rPr>
                <w:rFonts w:asciiTheme="minorHAnsi" w:hAnsiTheme="minorHAnsi" w:cstheme="minorHAnsi"/>
                <w:sz w:val="22"/>
                <w:szCs w:val="22"/>
                <w:lang w:eastAsia="uk-UA"/>
              </w:rPr>
              <w:t xml:space="preserve">more than 180 </w:t>
            </w:r>
            <w:r w:rsidRPr="00043659">
              <w:rPr>
                <w:rFonts w:asciiTheme="minorHAnsi" w:hAnsiTheme="minorHAnsi" w:cstheme="minorHAnsi"/>
                <w:sz w:val="22"/>
                <w:szCs w:val="22"/>
              </w:rPr>
              <w:t>civic ac</w:t>
            </w:r>
            <w:r>
              <w:rPr>
                <w:rFonts w:asciiTheme="minorHAnsi" w:hAnsiTheme="minorHAnsi" w:cstheme="minorHAnsi"/>
                <w:sz w:val="22"/>
                <w:szCs w:val="22"/>
              </w:rPr>
              <w:t>tivists and municipal officials</w:t>
            </w:r>
            <w:r w:rsidRPr="00043659">
              <w:rPr>
                <w:rFonts w:asciiTheme="minorHAnsi" w:hAnsiTheme="minorHAnsi" w:cstheme="minorHAnsi"/>
                <w:sz w:val="22"/>
                <w:szCs w:val="22"/>
                <w:lang w:eastAsia="uk-UA"/>
              </w:rPr>
              <w:t xml:space="preserve"> at the </w:t>
            </w:r>
            <w:hyperlink r:id="rId20" w:history="1">
              <w:r w:rsidRPr="00043659">
                <w:rPr>
                  <w:rFonts w:asciiTheme="minorHAnsi" w:hAnsiTheme="minorHAnsi" w:cstheme="minorHAnsi"/>
                  <w:color w:val="0000FF"/>
                  <w:sz w:val="22"/>
                  <w:szCs w:val="22"/>
                  <w:u w:val="single"/>
                  <w:lang w:eastAsia="uk-UA"/>
                </w:rPr>
                <w:t>Personal Democracy Forum</w:t>
              </w:r>
            </w:hyperlink>
            <w:r w:rsidRPr="00043659">
              <w:rPr>
                <w:rFonts w:asciiTheme="minorHAnsi" w:hAnsiTheme="minorHAnsi" w:cstheme="minorHAnsi"/>
                <w:sz w:val="22"/>
                <w:szCs w:val="22"/>
                <w:lang w:eastAsia="uk-UA"/>
              </w:rPr>
              <w:t xml:space="preserve"> Ukraine co-organised by DHRP</w:t>
            </w:r>
            <w:r>
              <w:rPr>
                <w:rFonts w:asciiTheme="minorHAnsi" w:hAnsiTheme="minorHAnsi" w:cstheme="minorHAnsi"/>
                <w:sz w:val="22"/>
                <w:szCs w:val="22"/>
                <w:lang w:eastAsia="uk-UA"/>
              </w:rPr>
              <w:t xml:space="preserve"> in 2016.</w:t>
            </w:r>
            <w:r w:rsidRPr="00043659">
              <w:rPr>
                <w:rFonts w:asciiTheme="minorHAnsi" w:hAnsiTheme="minorHAnsi" w:cstheme="minorHAnsi"/>
                <w:sz w:val="22"/>
                <w:szCs w:val="22"/>
              </w:rPr>
              <w:t xml:space="preserve"> </w:t>
            </w:r>
          </w:p>
          <w:p w14:paraId="59F6BBA7" w14:textId="6989D0EE" w:rsidR="00B53557" w:rsidRDefault="00B53557" w:rsidP="00B53557">
            <w:pPr>
              <w:rPr>
                <w:rFonts w:asciiTheme="minorHAnsi" w:hAnsiTheme="minorHAnsi" w:cstheme="minorHAnsi"/>
                <w:sz w:val="22"/>
                <w:szCs w:val="22"/>
              </w:rPr>
            </w:pPr>
          </w:p>
          <w:p w14:paraId="25E81A5D" w14:textId="2AD17AF5" w:rsidR="00B53557" w:rsidRDefault="00B53557" w:rsidP="00B53557">
            <w:pPr>
              <w:rPr>
                <w:rFonts w:ascii="Calibri" w:hAnsi="Calibri"/>
                <w:sz w:val="22"/>
                <w:szCs w:val="22"/>
                <w:u w:val="single"/>
                <w:lang w:eastAsia="en-US"/>
              </w:rPr>
            </w:pPr>
            <w:r>
              <w:rPr>
                <w:rFonts w:ascii="Calibri" w:hAnsi="Calibri"/>
                <w:sz w:val="22"/>
                <w:szCs w:val="22"/>
                <w:u w:val="single"/>
                <w:lang w:eastAsia="en-US"/>
              </w:rPr>
              <w:t>Open P</w:t>
            </w:r>
            <w:r w:rsidRPr="00FF594B">
              <w:rPr>
                <w:rFonts w:ascii="Calibri" w:hAnsi="Calibri"/>
                <w:sz w:val="22"/>
                <w:szCs w:val="22"/>
                <w:u w:val="single"/>
                <w:lang w:eastAsia="en-US"/>
              </w:rPr>
              <w:t>arliament</w:t>
            </w:r>
            <w:r>
              <w:rPr>
                <w:rFonts w:ascii="Calibri" w:hAnsi="Calibri"/>
                <w:sz w:val="22"/>
                <w:szCs w:val="22"/>
                <w:u w:val="single"/>
                <w:lang w:eastAsia="en-US"/>
              </w:rPr>
              <w:t xml:space="preserve"> Data</w:t>
            </w:r>
          </w:p>
          <w:p w14:paraId="2FB63FB1" w14:textId="735022AD" w:rsidR="00B53557" w:rsidRDefault="00B53557" w:rsidP="00B53557">
            <w:pPr>
              <w:rPr>
                <w:rFonts w:ascii="Calibri" w:hAnsi="Calibri"/>
                <w:sz w:val="22"/>
                <w:szCs w:val="22"/>
                <w:u w:val="single"/>
                <w:lang w:eastAsia="en-US"/>
              </w:rPr>
            </w:pPr>
          </w:p>
          <w:p w14:paraId="1873E546" w14:textId="38406F57" w:rsidR="00B53557" w:rsidRDefault="00D31C72" w:rsidP="00B53557">
            <w:pPr>
              <w:rPr>
                <w:rFonts w:asciiTheme="minorHAnsi" w:hAnsiTheme="minorHAnsi" w:cstheme="minorHAnsi"/>
                <w:iCs/>
                <w:sz w:val="22"/>
                <w:szCs w:val="22"/>
                <w:lang w:eastAsia="uk-UA"/>
              </w:rPr>
            </w:pPr>
            <w:r>
              <w:rPr>
                <w:rFonts w:asciiTheme="minorHAnsi" w:hAnsiTheme="minorHAnsi" w:cstheme="minorHAnsi"/>
                <w:iCs/>
                <w:sz w:val="22"/>
                <w:szCs w:val="22"/>
                <w:lang w:eastAsia="uk-UA"/>
              </w:rPr>
              <w:t>However</w:t>
            </w:r>
            <w:r w:rsidR="00B53557" w:rsidRPr="009C3B52">
              <w:rPr>
                <w:rFonts w:asciiTheme="minorHAnsi" w:hAnsiTheme="minorHAnsi" w:cstheme="minorHAnsi"/>
                <w:iCs/>
                <w:sz w:val="22"/>
                <w:szCs w:val="22"/>
                <w:lang w:eastAsia="uk-UA"/>
              </w:rPr>
              <w:t>, support to openness initiatives w</w:t>
            </w:r>
            <w:r w:rsidR="005F7228">
              <w:rPr>
                <w:rFonts w:asciiTheme="minorHAnsi" w:hAnsiTheme="minorHAnsi" w:cstheme="minorHAnsi"/>
                <w:iCs/>
                <w:sz w:val="22"/>
                <w:szCs w:val="22"/>
                <w:lang w:eastAsia="uk-UA"/>
              </w:rPr>
              <w:t>ere</w:t>
            </w:r>
            <w:r w:rsidR="00B53557" w:rsidRPr="009C3B52">
              <w:rPr>
                <w:rFonts w:asciiTheme="minorHAnsi" w:hAnsiTheme="minorHAnsi" w:cstheme="minorHAnsi"/>
                <w:iCs/>
                <w:sz w:val="22"/>
                <w:szCs w:val="22"/>
                <w:lang w:eastAsia="uk-UA"/>
              </w:rPr>
              <w:t xml:space="preserve"> not focused only on the executive branch</w:t>
            </w:r>
            <w:r w:rsidR="005F7228">
              <w:rPr>
                <w:rFonts w:asciiTheme="minorHAnsi" w:hAnsiTheme="minorHAnsi" w:cstheme="minorHAnsi"/>
                <w:iCs/>
                <w:sz w:val="22"/>
                <w:szCs w:val="22"/>
                <w:lang w:eastAsia="uk-UA"/>
              </w:rPr>
              <w:t>,</w:t>
            </w:r>
            <w:r w:rsidR="00B53557" w:rsidRPr="009C3B52">
              <w:rPr>
                <w:rFonts w:asciiTheme="minorHAnsi" w:hAnsiTheme="minorHAnsi" w:cstheme="minorHAnsi"/>
                <w:iCs/>
                <w:sz w:val="22"/>
                <w:szCs w:val="22"/>
                <w:lang w:eastAsia="uk-UA"/>
              </w:rPr>
              <w:t xml:space="preserve"> </w:t>
            </w:r>
            <w:r w:rsidR="005F7228">
              <w:rPr>
                <w:rFonts w:asciiTheme="minorHAnsi" w:hAnsiTheme="minorHAnsi" w:cstheme="minorHAnsi"/>
                <w:iCs/>
                <w:sz w:val="22"/>
                <w:szCs w:val="22"/>
                <w:lang w:eastAsia="uk-UA"/>
              </w:rPr>
              <w:t xml:space="preserve">and grew </w:t>
            </w:r>
            <w:r w:rsidR="00B53557" w:rsidRPr="009C3B52">
              <w:rPr>
                <w:rFonts w:asciiTheme="minorHAnsi" w:hAnsiTheme="minorHAnsi" w:cstheme="minorHAnsi"/>
                <w:iCs/>
                <w:sz w:val="22"/>
                <w:szCs w:val="22"/>
                <w:lang w:eastAsia="uk-UA"/>
              </w:rPr>
              <w:t xml:space="preserve">out of efforts </w:t>
            </w:r>
            <w:r w:rsidR="005F7228">
              <w:rPr>
                <w:rFonts w:asciiTheme="minorHAnsi" w:hAnsiTheme="minorHAnsi" w:cstheme="minorHAnsi"/>
                <w:iCs/>
                <w:sz w:val="22"/>
                <w:szCs w:val="22"/>
                <w:lang w:eastAsia="uk-UA"/>
              </w:rPr>
              <w:t>from</w:t>
            </w:r>
            <w:r w:rsidR="00B53557" w:rsidRPr="009C3B52">
              <w:rPr>
                <w:rFonts w:asciiTheme="minorHAnsi" w:hAnsiTheme="minorHAnsi" w:cstheme="minorHAnsi"/>
                <w:iCs/>
                <w:sz w:val="22"/>
                <w:szCs w:val="22"/>
                <w:lang w:eastAsia="uk-UA"/>
              </w:rPr>
              <w:t xml:space="preserve"> civic activists and younger </w:t>
            </w:r>
            <w:r w:rsidR="00B53557">
              <w:rPr>
                <w:rFonts w:asciiTheme="minorHAnsi" w:hAnsiTheme="minorHAnsi" w:cstheme="minorHAnsi"/>
                <w:iCs/>
                <w:sz w:val="22"/>
                <w:szCs w:val="22"/>
                <w:lang w:eastAsia="uk-UA"/>
              </w:rPr>
              <w:t>Members of Parliament</w:t>
            </w:r>
            <w:r w:rsidR="00B53557" w:rsidRPr="009C3B52">
              <w:rPr>
                <w:rFonts w:asciiTheme="minorHAnsi" w:hAnsiTheme="minorHAnsi" w:cstheme="minorHAnsi"/>
                <w:iCs/>
                <w:sz w:val="22"/>
                <w:szCs w:val="22"/>
                <w:lang w:eastAsia="uk-UA"/>
              </w:rPr>
              <w:t xml:space="preserve"> (former civic activists),</w:t>
            </w:r>
            <w:r w:rsidR="000547D3">
              <w:rPr>
                <w:rFonts w:asciiTheme="minorHAnsi" w:hAnsiTheme="minorHAnsi" w:cstheme="minorHAnsi"/>
                <w:iCs/>
                <w:sz w:val="22"/>
                <w:szCs w:val="22"/>
                <w:lang w:eastAsia="uk-UA"/>
              </w:rPr>
              <w:t xml:space="preserve"> launching</w:t>
            </w:r>
            <w:r w:rsidR="00B53557" w:rsidRPr="009C3B52">
              <w:rPr>
                <w:rFonts w:asciiTheme="minorHAnsi" w:hAnsiTheme="minorHAnsi" w:cstheme="minorHAnsi"/>
                <w:iCs/>
                <w:sz w:val="22"/>
                <w:szCs w:val="22"/>
                <w:lang w:eastAsia="uk-UA"/>
              </w:rPr>
              <w:t xml:space="preserve"> the Open Parliament initiative in autumn of 2015 with DHRP support. </w:t>
            </w:r>
            <w:r w:rsidR="00B53557">
              <w:rPr>
                <w:rFonts w:asciiTheme="minorHAnsi" w:hAnsiTheme="minorHAnsi" w:cstheme="minorHAnsi"/>
                <w:iCs/>
                <w:sz w:val="22"/>
                <w:szCs w:val="22"/>
                <w:lang w:eastAsia="uk-UA"/>
              </w:rPr>
              <w:t xml:space="preserve">The Programme was the first to support Ukraine to join international Open Parliament Initiative (OPI) which is </w:t>
            </w:r>
            <w:r w:rsidR="00B53557" w:rsidRPr="009C3B52">
              <w:rPr>
                <w:rFonts w:asciiTheme="minorHAnsi" w:hAnsiTheme="minorHAnsi" w:cstheme="minorHAnsi"/>
                <w:iCs/>
                <w:sz w:val="22"/>
                <w:szCs w:val="22"/>
                <w:lang w:eastAsia="uk-UA"/>
              </w:rPr>
              <w:t xml:space="preserve">a pledge designed between the legislators and the parliamentary CSO monitors to improve procedures and every-day practices of the Parliament. </w:t>
            </w:r>
          </w:p>
          <w:p w14:paraId="22D3217D" w14:textId="77777777" w:rsidR="00B53557" w:rsidRPr="009C3B52" w:rsidRDefault="00B53557" w:rsidP="00B53557">
            <w:pPr>
              <w:rPr>
                <w:rFonts w:asciiTheme="minorHAnsi" w:hAnsiTheme="minorHAnsi" w:cstheme="minorHAnsi"/>
                <w:iCs/>
                <w:sz w:val="22"/>
                <w:szCs w:val="22"/>
                <w:lang w:eastAsia="uk-UA"/>
              </w:rPr>
            </w:pPr>
          </w:p>
          <w:p w14:paraId="7D6E38FF" w14:textId="5926208F" w:rsidR="00B53557" w:rsidRDefault="00B53557" w:rsidP="00B53557">
            <w:pPr>
              <w:rPr>
                <w:rFonts w:asciiTheme="minorHAnsi" w:hAnsiTheme="minorHAnsi" w:cstheme="minorHAnsi"/>
                <w:iCs/>
                <w:sz w:val="22"/>
                <w:szCs w:val="22"/>
                <w:lang w:eastAsia="uk-UA"/>
              </w:rPr>
            </w:pPr>
            <w:r>
              <w:rPr>
                <w:rFonts w:asciiTheme="minorHAnsi" w:hAnsiTheme="minorHAnsi" w:cstheme="minorHAnsi"/>
                <w:iCs/>
                <w:sz w:val="22"/>
                <w:szCs w:val="22"/>
                <w:lang w:eastAsia="uk-UA"/>
              </w:rPr>
              <w:t xml:space="preserve">Specifically, DHRP made a significant progress in the development of the first ever </w:t>
            </w:r>
            <w:r w:rsidRPr="009C3B52">
              <w:rPr>
                <w:rFonts w:asciiTheme="minorHAnsi" w:hAnsiTheme="minorHAnsi" w:cstheme="minorHAnsi"/>
                <w:b/>
                <w:iCs/>
                <w:sz w:val="22"/>
                <w:szCs w:val="22"/>
                <w:lang w:eastAsia="uk-UA"/>
              </w:rPr>
              <w:t>Action Plan of the Declaration of the Parliamentary Openness</w:t>
            </w:r>
            <w:r>
              <w:rPr>
                <w:rFonts w:asciiTheme="minorHAnsi" w:hAnsiTheme="minorHAnsi" w:cstheme="minorHAnsi"/>
                <w:iCs/>
                <w:sz w:val="22"/>
                <w:szCs w:val="22"/>
                <w:lang w:eastAsia="uk-UA"/>
              </w:rPr>
              <w:t xml:space="preserve"> (endorsed in February 2016), by</w:t>
            </w:r>
            <w:r w:rsidR="00242EAE">
              <w:rPr>
                <w:rFonts w:ascii="Calibri" w:hAnsi="Calibri"/>
                <w:sz w:val="22"/>
                <w:szCs w:val="22"/>
                <w:lang w:eastAsia="en-US"/>
              </w:rPr>
              <w:t xml:space="preserve"> </w:t>
            </w:r>
            <w:r>
              <w:rPr>
                <w:rFonts w:ascii="Calibri" w:hAnsi="Calibri"/>
                <w:sz w:val="22"/>
                <w:szCs w:val="22"/>
                <w:lang w:eastAsia="en-US"/>
              </w:rPr>
              <w:t>establishing and providing</w:t>
            </w:r>
            <w:r w:rsidRPr="009C1EDC">
              <w:rPr>
                <w:rFonts w:ascii="Calibri" w:hAnsi="Calibri"/>
                <w:sz w:val="22"/>
                <w:szCs w:val="22"/>
                <w:lang w:eastAsia="en-US"/>
              </w:rPr>
              <w:t xml:space="preserve"> ongoing support to the Working Group of CSOs</w:t>
            </w:r>
            <w:r w:rsidR="00242EAE">
              <w:rPr>
                <w:rFonts w:ascii="Calibri" w:hAnsi="Calibri"/>
                <w:sz w:val="22"/>
                <w:szCs w:val="22"/>
                <w:lang w:eastAsia="en-US"/>
              </w:rPr>
              <w:t>,</w:t>
            </w:r>
            <w:r w:rsidRPr="009C1EDC">
              <w:rPr>
                <w:rFonts w:ascii="Calibri" w:hAnsi="Calibri"/>
                <w:sz w:val="22"/>
                <w:szCs w:val="22"/>
                <w:lang w:eastAsia="en-US"/>
              </w:rPr>
              <w:t xml:space="preserve"> and the Parliament</w:t>
            </w:r>
            <w:r>
              <w:rPr>
                <w:rFonts w:ascii="Calibri" w:hAnsi="Calibri"/>
                <w:sz w:val="22"/>
                <w:szCs w:val="22"/>
                <w:lang w:eastAsia="en-US"/>
              </w:rPr>
              <w:t xml:space="preserve"> that coordinated and implemented the Action Plan</w:t>
            </w:r>
            <w:r w:rsidRPr="009C1EDC">
              <w:rPr>
                <w:rFonts w:ascii="Calibri" w:hAnsi="Calibri"/>
                <w:sz w:val="22"/>
                <w:szCs w:val="22"/>
                <w:lang w:eastAsia="en-US"/>
              </w:rPr>
              <w:t xml:space="preserve">. </w:t>
            </w:r>
            <w:r>
              <w:rPr>
                <w:rFonts w:ascii="Calibri" w:hAnsi="Calibri"/>
                <w:sz w:val="22"/>
                <w:szCs w:val="22"/>
                <w:lang w:eastAsia="en-US"/>
              </w:rPr>
              <w:t xml:space="preserve">The </w:t>
            </w:r>
            <w:r w:rsidRPr="009C3B52">
              <w:rPr>
                <w:rFonts w:asciiTheme="minorHAnsi" w:hAnsiTheme="minorHAnsi" w:cstheme="minorHAnsi"/>
                <w:iCs/>
                <w:sz w:val="22"/>
                <w:szCs w:val="22"/>
                <w:lang w:eastAsia="uk-UA"/>
              </w:rPr>
              <w:t>Plan envisage</w:t>
            </w:r>
            <w:r>
              <w:rPr>
                <w:rFonts w:asciiTheme="minorHAnsi" w:hAnsiTheme="minorHAnsi" w:cstheme="minorHAnsi"/>
                <w:iCs/>
                <w:sz w:val="22"/>
                <w:szCs w:val="22"/>
                <w:lang w:eastAsia="uk-UA"/>
              </w:rPr>
              <w:t>s</w:t>
            </w:r>
            <w:r w:rsidRPr="009C3B52">
              <w:rPr>
                <w:rFonts w:asciiTheme="minorHAnsi" w:hAnsiTheme="minorHAnsi" w:cstheme="minorHAnsi"/>
                <w:iCs/>
                <w:sz w:val="22"/>
                <w:szCs w:val="22"/>
                <w:lang w:eastAsia="uk-UA"/>
              </w:rPr>
              <w:t xml:space="preserve"> easier citizen access to Parliamentary proceedings and public information on </w:t>
            </w:r>
            <w:r>
              <w:rPr>
                <w:rFonts w:asciiTheme="minorHAnsi" w:hAnsiTheme="minorHAnsi" w:cstheme="minorHAnsi"/>
                <w:iCs/>
                <w:sz w:val="22"/>
                <w:szCs w:val="22"/>
                <w:lang w:eastAsia="uk-UA"/>
              </w:rPr>
              <w:t>Members of Parliament</w:t>
            </w:r>
            <w:r w:rsidRPr="009C3B52">
              <w:rPr>
                <w:rFonts w:asciiTheme="minorHAnsi" w:hAnsiTheme="minorHAnsi" w:cstheme="minorHAnsi"/>
                <w:iCs/>
                <w:sz w:val="22"/>
                <w:szCs w:val="22"/>
                <w:lang w:eastAsia="uk-UA"/>
              </w:rPr>
              <w:t xml:space="preserve"> as well as disclosure of Parliamentary inquiries and information debated within Committees. In addition to this, the Plan envisages channels for the public to comment on draft laws, </w:t>
            </w:r>
            <w:r w:rsidR="00242EAE">
              <w:rPr>
                <w:rFonts w:asciiTheme="minorHAnsi" w:hAnsiTheme="minorHAnsi" w:cstheme="minorHAnsi"/>
                <w:iCs/>
                <w:sz w:val="22"/>
                <w:szCs w:val="22"/>
                <w:lang w:eastAsia="uk-UA"/>
              </w:rPr>
              <w:t xml:space="preserve">to </w:t>
            </w:r>
            <w:r w:rsidRPr="009C3B52">
              <w:rPr>
                <w:rFonts w:asciiTheme="minorHAnsi" w:hAnsiTheme="minorHAnsi" w:cstheme="minorHAnsi"/>
                <w:iCs/>
                <w:sz w:val="22"/>
                <w:szCs w:val="22"/>
                <w:lang w:eastAsia="uk-UA"/>
              </w:rPr>
              <w:t>request the Parliamentary Secretariat to disclose budgetary data for the main legislative body of the country, and to improve data search and processing via the Parliamentary Open Data Portal.</w:t>
            </w:r>
          </w:p>
          <w:p w14:paraId="4BE3461F" w14:textId="77777777" w:rsidR="00B53557" w:rsidRDefault="00B53557" w:rsidP="00B53557">
            <w:pPr>
              <w:rPr>
                <w:rFonts w:ascii="Calibri" w:hAnsi="Calibri"/>
                <w:sz w:val="22"/>
                <w:szCs w:val="22"/>
                <w:lang w:eastAsia="en-US"/>
              </w:rPr>
            </w:pPr>
          </w:p>
          <w:p w14:paraId="5D5264B6" w14:textId="57FFCA8D" w:rsidR="00B53557" w:rsidRPr="00DC6A57" w:rsidRDefault="00B53557" w:rsidP="00B53557">
            <w:pPr>
              <w:rPr>
                <w:rFonts w:ascii="Calibri" w:hAnsi="Calibri"/>
                <w:sz w:val="22"/>
                <w:szCs w:val="22"/>
                <w:u w:val="single"/>
                <w:lang w:val="en-US" w:eastAsia="en-US"/>
              </w:rPr>
            </w:pPr>
            <w:r>
              <w:rPr>
                <w:rFonts w:ascii="Calibri" w:hAnsi="Calibri"/>
                <w:sz w:val="22"/>
                <w:szCs w:val="22"/>
                <w:lang w:eastAsia="en-US"/>
              </w:rPr>
              <w:t xml:space="preserve">In May 2016, the </w:t>
            </w:r>
            <w:r w:rsidRPr="009C1EDC">
              <w:rPr>
                <w:rFonts w:ascii="Calibri" w:hAnsi="Calibri"/>
                <w:sz w:val="22"/>
                <w:szCs w:val="22"/>
                <w:lang w:eastAsia="en-US"/>
              </w:rPr>
              <w:t>Working Group reported</w:t>
            </w:r>
            <w:r>
              <w:rPr>
                <w:rFonts w:ascii="Calibri" w:hAnsi="Calibri"/>
                <w:sz w:val="22"/>
                <w:szCs w:val="22"/>
                <w:lang w:eastAsia="en-US"/>
              </w:rPr>
              <w:t xml:space="preserve"> on</w:t>
            </w:r>
            <w:r w:rsidRPr="009C1EDC">
              <w:rPr>
                <w:rFonts w:ascii="Calibri" w:hAnsi="Calibri"/>
                <w:sz w:val="22"/>
                <w:szCs w:val="22"/>
                <w:lang w:eastAsia="en-US"/>
              </w:rPr>
              <w:t>:</w:t>
            </w:r>
          </w:p>
          <w:p w14:paraId="3CEE85A4" w14:textId="5A0100ED" w:rsidR="00B53557" w:rsidRPr="009C1EDC" w:rsidRDefault="00B53557" w:rsidP="008962E4">
            <w:pPr>
              <w:numPr>
                <w:ilvl w:val="0"/>
                <w:numId w:val="21"/>
              </w:numPr>
              <w:textAlignment w:val="center"/>
              <w:rPr>
                <w:rFonts w:ascii="Calibri" w:hAnsi="Calibri"/>
                <w:sz w:val="22"/>
                <w:szCs w:val="22"/>
                <w:lang w:eastAsia="en-US"/>
              </w:rPr>
            </w:pPr>
            <w:r>
              <w:rPr>
                <w:rFonts w:ascii="Calibri" w:hAnsi="Calibri"/>
                <w:sz w:val="22"/>
                <w:szCs w:val="22"/>
                <w:lang w:eastAsia="en-US"/>
              </w:rPr>
              <w:t>Launching</w:t>
            </w:r>
            <w:r w:rsidRPr="009C1EDC">
              <w:rPr>
                <w:rFonts w:ascii="Calibri" w:hAnsi="Calibri"/>
                <w:sz w:val="22"/>
                <w:szCs w:val="22"/>
                <w:lang w:eastAsia="en-US"/>
              </w:rPr>
              <w:t xml:space="preserve"> an </w:t>
            </w:r>
            <w:hyperlink r:id="rId21" w:history="1">
              <w:r w:rsidRPr="001A2049">
                <w:rPr>
                  <w:rStyle w:val="Hyperlink"/>
                  <w:rFonts w:ascii="Calibri" w:hAnsi="Calibri"/>
                  <w:sz w:val="22"/>
                  <w:szCs w:val="22"/>
                  <w:lang w:eastAsia="en-US"/>
                </w:rPr>
                <w:t>Open Data Portal of VRU</w:t>
              </w:r>
            </w:hyperlink>
            <w:r>
              <w:rPr>
                <w:rFonts w:ascii="Calibri" w:hAnsi="Calibri"/>
                <w:sz w:val="22"/>
                <w:szCs w:val="22"/>
                <w:lang w:eastAsia="en-US"/>
              </w:rPr>
              <w:t xml:space="preserve"> – a tool developed by the OPORA Civic Network with DHRP support. The website contains over 400 data sets. The Programme supported capacity development for activists to work with the tool, as well as used regional hubs network to raise the awareness about the Portal</w:t>
            </w:r>
          </w:p>
          <w:p w14:paraId="2589B128" w14:textId="0EDFA69A"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 xml:space="preserve">Launching a web-resource for people to </w:t>
            </w:r>
            <w:hyperlink r:id="rId22" w:history="1">
              <w:r w:rsidRPr="001A2049">
                <w:rPr>
                  <w:rStyle w:val="Hyperlink"/>
                  <w:rFonts w:ascii="Calibri" w:hAnsi="Calibri"/>
                  <w:sz w:val="22"/>
                  <w:szCs w:val="22"/>
                  <w:lang w:eastAsia="en-US"/>
                </w:rPr>
                <w:t>monitor MPs vote</w:t>
              </w:r>
            </w:hyperlink>
          </w:p>
          <w:p w14:paraId="25C8C934" w14:textId="51571252" w:rsidR="00B53557"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Disclosing partial financial information</w:t>
            </w:r>
          </w:p>
          <w:p w14:paraId="1466BC2B" w14:textId="258C9506" w:rsidR="00B53557" w:rsidRPr="001A2049" w:rsidRDefault="00B53557" w:rsidP="00B53557">
            <w:pPr>
              <w:ind w:left="540"/>
              <w:textAlignment w:val="center"/>
              <w:rPr>
                <w:rFonts w:ascii="Calibri" w:hAnsi="Calibri"/>
                <w:i/>
                <w:sz w:val="22"/>
                <w:szCs w:val="22"/>
                <w:lang w:eastAsia="en-US"/>
              </w:rPr>
            </w:pPr>
            <w:r>
              <w:rPr>
                <w:rFonts w:ascii="Calibri" w:hAnsi="Calibri"/>
                <w:i/>
                <w:sz w:val="22"/>
                <w:szCs w:val="22"/>
                <w:lang w:eastAsia="en-US"/>
              </w:rPr>
              <w:t xml:space="preserve">(Other results can be found in the Working Group report </w:t>
            </w:r>
            <w:hyperlink r:id="rId23" w:history="1">
              <w:r w:rsidRPr="001A2049">
                <w:rPr>
                  <w:rStyle w:val="Hyperlink"/>
                  <w:rFonts w:ascii="Calibri" w:hAnsi="Calibri"/>
                  <w:sz w:val="22"/>
                  <w:szCs w:val="22"/>
                  <w:lang w:eastAsia="en-US"/>
                </w:rPr>
                <w:t>here</w:t>
              </w:r>
            </w:hyperlink>
            <w:r>
              <w:rPr>
                <w:rFonts w:ascii="Calibri" w:hAnsi="Calibri"/>
                <w:i/>
                <w:sz w:val="22"/>
                <w:szCs w:val="22"/>
                <w:lang w:eastAsia="en-US"/>
              </w:rPr>
              <w:t>)</w:t>
            </w:r>
          </w:p>
          <w:p w14:paraId="5C9E1D84" w14:textId="38DF32E3" w:rsidR="00B53557" w:rsidRDefault="00B53557" w:rsidP="00B53557">
            <w:pPr>
              <w:textAlignment w:val="center"/>
              <w:rPr>
                <w:rFonts w:ascii="Calibri" w:hAnsi="Calibri"/>
                <w:sz w:val="22"/>
                <w:szCs w:val="22"/>
                <w:lang w:eastAsia="en-US"/>
              </w:rPr>
            </w:pPr>
          </w:p>
          <w:p w14:paraId="65AFF173" w14:textId="130852ED" w:rsidR="00B53557" w:rsidRPr="009C3B52" w:rsidRDefault="00261454" w:rsidP="00B53557">
            <w:pPr>
              <w:textAlignment w:val="center"/>
              <w:rPr>
                <w:rFonts w:ascii="Calibri" w:hAnsi="Calibri"/>
                <w:sz w:val="22"/>
                <w:szCs w:val="22"/>
                <w:lang w:val="uk-UA" w:eastAsia="en-US"/>
              </w:rPr>
            </w:pPr>
            <w:r>
              <w:rPr>
                <w:rFonts w:asciiTheme="minorHAnsi" w:hAnsiTheme="minorHAnsi" w:cstheme="minorHAnsi"/>
                <w:iCs/>
                <w:sz w:val="22"/>
                <w:szCs w:val="22"/>
                <w:lang w:eastAsia="uk-UA"/>
              </w:rPr>
              <w:t>On</w:t>
            </w:r>
            <w:r w:rsidR="00B53557">
              <w:rPr>
                <w:rFonts w:asciiTheme="minorHAnsi" w:hAnsiTheme="minorHAnsi" w:cstheme="minorHAnsi"/>
                <w:iCs/>
                <w:sz w:val="22"/>
                <w:szCs w:val="22"/>
                <w:lang w:eastAsia="uk-UA"/>
              </w:rPr>
              <w:t xml:space="preserve"> June 2016</w:t>
            </w:r>
            <w:r>
              <w:rPr>
                <w:rFonts w:asciiTheme="minorHAnsi" w:hAnsiTheme="minorHAnsi" w:cstheme="minorHAnsi"/>
                <w:iCs/>
                <w:sz w:val="22"/>
                <w:szCs w:val="22"/>
                <w:lang w:eastAsia="uk-UA"/>
              </w:rPr>
              <w:t>,</w:t>
            </w:r>
            <w:r w:rsidR="00B53557">
              <w:rPr>
                <w:rFonts w:asciiTheme="minorHAnsi" w:hAnsiTheme="minorHAnsi" w:cstheme="minorHAnsi"/>
                <w:iCs/>
                <w:sz w:val="22"/>
                <w:szCs w:val="22"/>
                <w:lang w:eastAsia="uk-UA"/>
              </w:rPr>
              <w:t xml:space="preserve"> this initiative was transferred to the UNDP EU-</w:t>
            </w:r>
            <w:r w:rsidR="00B53557" w:rsidRPr="00F313E8">
              <w:rPr>
                <w:rFonts w:asciiTheme="minorHAnsi" w:hAnsiTheme="minorHAnsi" w:cstheme="minorHAnsi"/>
                <w:iCs/>
                <w:sz w:val="22"/>
                <w:szCs w:val="22"/>
                <w:lang w:eastAsia="uk-UA"/>
              </w:rPr>
              <w:t xml:space="preserve">funded ‘’Rada za Evropu’’ project </w:t>
            </w:r>
            <w:r>
              <w:rPr>
                <w:rFonts w:asciiTheme="minorHAnsi" w:hAnsiTheme="minorHAnsi" w:cstheme="minorHAnsi"/>
                <w:iCs/>
                <w:sz w:val="22"/>
                <w:szCs w:val="22"/>
                <w:lang w:eastAsia="uk-UA"/>
              </w:rPr>
              <w:t xml:space="preserve">with </w:t>
            </w:r>
            <w:r w:rsidR="00B53557" w:rsidRPr="00F313E8">
              <w:rPr>
                <w:rFonts w:asciiTheme="minorHAnsi" w:hAnsiTheme="minorHAnsi" w:cstheme="minorHAnsi"/>
                <w:iCs/>
                <w:sz w:val="22"/>
                <w:szCs w:val="22"/>
                <w:lang w:eastAsia="uk-UA"/>
              </w:rPr>
              <w:t xml:space="preserve">an objective to </w:t>
            </w:r>
            <w:r w:rsidR="00B53557">
              <w:rPr>
                <w:rFonts w:asciiTheme="minorHAnsi" w:hAnsiTheme="minorHAnsi" w:cstheme="minorHAnsi"/>
                <w:iCs/>
                <w:sz w:val="22"/>
                <w:szCs w:val="22"/>
                <w:lang w:eastAsia="uk-UA"/>
              </w:rPr>
              <w:t xml:space="preserve">strengthen the capacity of the Verkhovna Rada to produce quality legislation and monitor its implementation, notably in the framework of the EU-Ukraine Association Agreement. </w:t>
            </w:r>
            <w:r>
              <w:rPr>
                <w:rFonts w:asciiTheme="minorHAnsi" w:hAnsiTheme="minorHAnsi" w:cstheme="minorHAnsi"/>
                <w:iCs/>
                <w:sz w:val="22"/>
                <w:szCs w:val="22"/>
                <w:lang w:eastAsia="uk-UA"/>
              </w:rPr>
              <w:t xml:space="preserve">The </w:t>
            </w:r>
            <w:r w:rsidR="00B53557">
              <w:rPr>
                <w:rFonts w:asciiTheme="minorHAnsi" w:hAnsiTheme="minorHAnsi" w:cstheme="minorHAnsi"/>
                <w:iCs/>
                <w:sz w:val="22"/>
                <w:szCs w:val="22"/>
                <w:lang w:eastAsia="uk-UA"/>
              </w:rPr>
              <w:t xml:space="preserve">DHRP initiative on Parliamentary Openness was transformed into one of the three components of the project – ‘’Support greater transparency and openness of the Verkhovna Rada and more consistent communication and dialogue with the citizens’’. ‘’Rada za Evropu’’ built on the success of DHRP and continues to promote Open Data Portal, implementing Communication Strategy and Action Plan for the Verkhovna Rada of Ukraine, and enabling Ukraine to assume the role of international leadership in Parliamentary transparency. </w:t>
            </w:r>
          </w:p>
          <w:p w14:paraId="594F7614" w14:textId="6C6406B5" w:rsidR="00B53557" w:rsidRDefault="00B53557" w:rsidP="00B53557">
            <w:pPr>
              <w:rPr>
                <w:rFonts w:ascii="Calibri" w:hAnsi="Calibri"/>
                <w:sz w:val="22"/>
                <w:szCs w:val="22"/>
                <w:lang w:eastAsia="en-US"/>
              </w:rPr>
            </w:pPr>
          </w:p>
          <w:p w14:paraId="67461079" w14:textId="134719AA" w:rsidR="00B53557" w:rsidRPr="00FF594B" w:rsidRDefault="00B53557" w:rsidP="00B53557">
            <w:pPr>
              <w:rPr>
                <w:rFonts w:ascii="Calibri" w:hAnsi="Calibri"/>
                <w:sz w:val="22"/>
                <w:szCs w:val="22"/>
                <w:u w:val="single"/>
                <w:lang w:eastAsia="en-US"/>
              </w:rPr>
            </w:pPr>
            <w:r w:rsidRPr="00FF594B">
              <w:rPr>
                <w:rFonts w:ascii="Calibri" w:hAnsi="Calibri"/>
                <w:sz w:val="22"/>
                <w:szCs w:val="22"/>
                <w:u w:val="single"/>
                <w:lang w:eastAsia="en-US"/>
              </w:rPr>
              <w:t>Anti-Corruption</w:t>
            </w:r>
          </w:p>
          <w:p w14:paraId="2710E8BE" w14:textId="323548B3" w:rsidR="00B53557" w:rsidRDefault="00B53557" w:rsidP="00B53557">
            <w:pPr>
              <w:rPr>
                <w:rFonts w:ascii="Calibri" w:hAnsi="Calibri"/>
                <w:sz w:val="22"/>
                <w:szCs w:val="22"/>
                <w:lang w:eastAsia="en-US"/>
              </w:rPr>
            </w:pPr>
            <w:r w:rsidRPr="009C1EDC">
              <w:rPr>
                <w:rFonts w:ascii="Calibri" w:hAnsi="Calibri"/>
                <w:sz w:val="22"/>
                <w:szCs w:val="22"/>
                <w:lang w:eastAsia="en-US"/>
              </w:rPr>
              <w:t> </w:t>
            </w:r>
          </w:p>
          <w:p w14:paraId="4132C069" w14:textId="7514C6B5" w:rsidR="00B53557" w:rsidRDefault="00B53557" w:rsidP="00B53557">
            <w:pPr>
              <w:rPr>
                <w:rFonts w:ascii="Calibri" w:hAnsi="Calibri"/>
                <w:sz w:val="22"/>
                <w:szCs w:val="22"/>
                <w:lang w:eastAsia="en-US"/>
              </w:rPr>
            </w:pPr>
            <w:r w:rsidRPr="001A2049">
              <w:rPr>
                <w:rFonts w:ascii="Calibri" w:hAnsi="Calibri"/>
                <w:sz w:val="22"/>
                <w:szCs w:val="22"/>
                <w:lang w:eastAsia="en-US"/>
              </w:rPr>
              <w:t>Responding to legislative amendments introduced by the Ukrainian Parliament in 2013, DHRP capitalized on its collaboration with the Anti-Corruption Parliamentary Committee to develop an anti-corruption risk assessment of the draft</w:t>
            </w:r>
            <w:r w:rsidR="00FE09F1">
              <w:rPr>
                <w:rFonts w:ascii="Calibri" w:hAnsi="Calibri"/>
                <w:sz w:val="22"/>
                <w:szCs w:val="22"/>
                <w:lang w:eastAsia="en-US"/>
              </w:rPr>
              <w:t>ed</w:t>
            </w:r>
            <w:r w:rsidRPr="001A2049">
              <w:rPr>
                <w:rFonts w:ascii="Calibri" w:hAnsi="Calibri"/>
                <w:sz w:val="22"/>
                <w:szCs w:val="22"/>
                <w:lang w:eastAsia="en-US"/>
              </w:rPr>
              <w:t xml:space="preserve"> laws initiated both </w:t>
            </w:r>
            <w:r w:rsidR="006E5DA1">
              <w:rPr>
                <w:rFonts w:ascii="Calibri" w:hAnsi="Calibri"/>
                <w:sz w:val="22"/>
                <w:szCs w:val="22"/>
                <w:lang w:eastAsia="en-US"/>
              </w:rPr>
              <w:t xml:space="preserve">by the Government and the MPs. </w:t>
            </w:r>
            <w:r w:rsidRPr="001A2049">
              <w:rPr>
                <w:rFonts w:ascii="Calibri" w:hAnsi="Calibri"/>
                <w:sz w:val="22"/>
                <w:szCs w:val="22"/>
                <w:lang w:eastAsia="en-US"/>
              </w:rPr>
              <w:t>The DHRP-supported civic experts that comprised the civic advisory group for the Committee were able to plough through legislative drafts tabled and find possible corruption risks in 27% of the draft bills assessed.</w:t>
            </w:r>
            <w:r>
              <w:rPr>
                <w:rFonts w:ascii="Calibri" w:hAnsi="Calibri"/>
                <w:sz w:val="22"/>
                <w:szCs w:val="22"/>
                <w:lang w:eastAsia="en-US"/>
              </w:rPr>
              <w:t xml:space="preserve"> </w:t>
            </w:r>
          </w:p>
          <w:p w14:paraId="2F303EFA" w14:textId="68ECCA85" w:rsidR="00B53557" w:rsidRDefault="00B53557" w:rsidP="00B53557">
            <w:pPr>
              <w:rPr>
                <w:rFonts w:ascii="Calibri" w:hAnsi="Calibri"/>
                <w:sz w:val="22"/>
                <w:szCs w:val="22"/>
                <w:lang w:eastAsia="en-US"/>
              </w:rPr>
            </w:pPr>
          </w:p>
          <w:p w14:paraId="414AB57B" w14:textId="2D0FD123" w:rsidR="00B53557" w:rsidRDefault="00B53557" w:rsidP="00B53557">
            <w:pPr>
              <w:rPr>
                <w:rFonts w:ascii="Calibri" w:hAnsi="Calibri"/>
                <w:sz w:val="22"/>
                <w:szCs w:val="22"/>
                <w:lang w:eastAsia="en-US"/>
              </w:rPr>
            </w:pPr>
            <w:r>
              <w:rPr>
                <w:rFonts w:ascii="Calibri" w:hAnsi="Calibri"/>
                <w:sz w:val="22"/>
                <w:szCs w:val="22"/>
                <w:lang w:eastAsia="en-US"/>
              </w:rPr>
              <w:t>The Programme was one of the first to respond to the post-Euromaidan challenges by providing support to the Reanimation Package of Reforms (RPR), particularly in the field of anti-corruption strategies and legislation. UNDP promoted the work of RPR at the regional level through the CSO Hubs, built capacities of the RPR experts and activists through study visits and training. The experts applied their experience in the development of the policy strategies and legislation, particularly the law ‘’On Foundations of Anti</w:t>
            </w:r>
            <w:r w:rsidR="00236069">
              <w:rPr>
                <w:rFonts w:ascii="Calibri" w:hAnsi="Calibri"/>
                <w:sz w:val="22"/>
                <w:szCs w:val="22"/>
                <w:lang w:eastAsia="en-US"/>
              </w:rPr>
              <w:t>-Corruption Policy in Ukraine’’</w:t>
            </w:r>
            <w:r>
              <w:rPr>
                <w:rFonts w:ascii="Calibri" w:hAnsi="Calibri"/>
                <w:sz w:val="22"/>
                <w:szCs w:val="22"/>
                <w:lang w:eastAsia="en-US"/>
              </w:rPr>
              <w:t xml:space="preserve">, (also known as the ‘’Anti-Corruption Strategy for 2014-2017’’) and the law ‘’On Preventing Corruption’’. Both laws were adopted in October 2014. </w:t>
            </w:r>
          </w:p>
          <w:p w14:paraId="14239630" w14:textId="34455AD2" w:rsidR="00B53557" w:rsidRDefault="00B53557" w:rsidP="00B53557">
            <w:pPr>
              <w:rPr>
                <w:rFonts w:ascii="Calibri" w:hAnsi="Calibri"/>
                <w:sz w:val="22"/>
                <w:szCs w:val="22"/>
                <w:lang w:eastAsia="en-US"/>
              </w:rPr>
            </w:pPr>
          </w:p>
          <w:p w14:paraId="63BA0AA5" w14:textId="2B7201B0" w:rsidR="00B53557" w:rsidRDefault="00B53557" w:rsidP="00B53557">
            <w:pPr>
              <w:rPr>
                <w:rFonts w:ascii="Calibri" w:hAnsi="Calibri"/>
                <w:sz w:val="22"/>
                <w:szCs w:val="22"/>
                <w:lang w:eastAsia="en-US"/>
              </w:rPr>
            </w:pPr>
            <w:r>
              <w:rPr>
                <w:rFonts w:ascii="Calibri" w:hAnsi="Calibri"/>
                <w:sz w:val="22"/>
                <w:szCs w:val="22"/>
                <w:lang w:eastAsia="en-US"/>
              </w:rPr>
              <w:t xml:space="preserve">DHRP was actively involved in the development of these laws and their implementation. The RPR anti-corruption group was able to educate over 4,000 stakeholders in 22 regions on decentralization, anti-corruption and other reforms. </w:t>
            </w:r>
          </w:p>
          <w:p w14:paraId="5C650C23" w14:textId="77777777" w:rsidR="00B53557" w:rsidRDefault="00B53557" w:rsidP="00B53557">
            <w:pPr>
              <w:rPr>
                <w:rFonts w:ascii="Calibri" w:hAnsi="Calibri"/>
                <w:sz w:val="22"/>
                <w:szCs w:val="22"/>
                <w:lang w:eastAsia="en-US"/>
              </w:rPr>
            </w:pPr>
          </w:p>
          <w:p w14:paraId="647AABA3" w14:textId="60D3818C" w:rsidR="00B53557" w:rsidRDefault="00B53557" w:rsidP="00B53557">
            <w:pPr>
              <w:jc w:val="both"/>
              <w:rPr>
                <w:rFonts w:ascii="Calibri" w:hAnsi="Calibri"/>
                <w:sz w:val="22"/>
                <w:szCs w:val="22"/>
                <w:lang w:eastAsia="en-US"/>
              </w:rPr>
            </w:pPr>
            <w:r w:rsidRPr="009C1EDC">
              <w:rPr>
                <w:rFonts w:ascii="Calibri" w:hAnsi="Calibri"/>
                <w:sz w:val="22"/>
                <w:szCs w:val="22"/>
                <w:lang w:eastAsia="en-US"/>
              </w:rPr>
              <w:t xml:space="preserve">The first UNDP Anti-Corruption School </w:t>
            </w:r>
            <w:r w:rsidRPr="009C1EDC">
              <w:rPr>
                <w:rFonts w:ascii="Calibri" w:hAnsi="Calibri"/>
                <w:b/>
                <w:bCs/>
                <w:sz w:val="22"/>
                <w:szCs w:val="22"/>
                <w:lang w:eastAsia="en-US"/>
              </w:rPr>
              <w:t xml:space="preserve">gave skills to </w:t>
            </w:r>
            <w:r w:rsidR="00FE09F1">
              <w:rPr>
                <w:rFonts w:ascii="Calibri" w:hAnsi="Calibri"/>
                <w:b/>
                <w:bCs/>
                <w:sz w:val="22"/>
                <w:szCs w:val="22"/>
                <w:lang w:eastAsia="en-US"/>
              </w:rPr>
              <w:t xml:space="preserve">the </w:t>
            </w:r>
            <w:r w:rsidRPr="009C1EDC">
              <w:rPr>
                <w:rFonts w:ascii="Calibri" w:hAnsi="Calibri"/>
                <w:b/>
                <w:bCs/>
                <w:sz w:val="22"/>
                <w:szCs w:val="22"/>
                <w:lang w:eastAsia="en-US"/>
              </w:rPr>
              <w:t>30 top applicants</w:t>
            </w:r>
            <w:r w:rsidRPr="009C1EDC">
              <w:rPr>
                <w:rFonts w:ascii="Calibri" w:hAnsi="Calibri"/>
                <w:sz w:val="22"/>
                <w:szCs w:val="22"/>
                <w:lang w:eastAsia="en-US"/>
              </w:rPr>
              <w:t xml:space="preserve"> in building national transparency and integrity, but also allowed the participants </w:t>
            </w:r>
            <w:r w:rsidRPr="00F970A8">
              <w:rPr>
                <w:rFonts w:ascii="Calibri" w:hAnsi="Calibri"/>
                <w:sz w:val="22"/>
                <w:szCs w:val="22"/>
                <w:u w:val="single"/>
                <w:lang w:eastAsia="en-US"/>
              </w:rPr>
              <w:t>to implement 29 micro-initiatives through seed-funding</w:t>
            </w:r>
            <w:r w:rsidR="00FE09F1">
              <w:rPr>
                <w:rFonts w:ascii="Calibri" w:hAnsi="Calibri"/>
                <w:sz w:val="22"/>
                <w:szCs w:val="22"/>
                <w:u w:val="single"/>
                <w:lang w:eastAsia="en-US"/>
              </w:rPr>
              <w:t>,</w:t>
            </w:r>
            <w:r w:rsidRPr="00E230E2">
              <w:rPr>
                <w:rFonts w:ascii="Calibri" w:hAnsi="Calibri"/>
                <w:sz w:val="22"/>
                <w:szCs w:val="22"/>
                <w:lang w:val="en-US" w:eastAsia="en-US"/>
              </w:rPr>
              <w:t xml:space="preserve"> </w:t>
            </w:r>
            <w:r>
              <w:rPr>
                <w:rFonts w:ascii="Calibri" w:hAnsi="Calibri"/>
                <w:sz w:val="22"/>
                <w:szCs w:val="22"/>
                <w:lang w:val="en-US" w:eastAsia="en-US"/>
              </w:rPr>
              <w:t>out of which 22 were recognized by a regranting CSO hub as success stories</w:t>
            </w:r>
            <w:r w:rsidRPr="009C1EDC">
              <w:rPr>
                <w:rFonts w:ascii="Calibri" w:hAnsi="Calibri"/>
                <w:i/>
                <w:iCs/>
                <w:sz w:val="22"/>
                <w:szCs w:val="22"/>
                <w:lang w:eastAsia="en-US"/>
              </w:rPr>
              <w:t xml:space="preserve">. </w:t>
            </w:r>
            <w:r w:rsidRPr="009C1EDC">
              <w:rPr>
                <w:rFonts w:ascii="Calibri" w:hAnsi="Calibri"/>
                <w:sz w:val="22"/>
                <w:szCs w:val="22"/>
                <w:lang w:eastAsia="en-US"/>
              </w:rPr>
              <w:t xml:space="preserve">The graduates have initiated eight criminal cases based on the irregularities in competitive procurement, saving around USD 1.3M by terminating 21 procurement contracts with fraud and collusion, detecting 26 cases of illegal construction. The initiative has been taken over by UNDP's ''Enhancing Transparency and Integrity in Public Sector'' </w:t>
            </w:r>
            <w:r w:rsidRPr="002F52EE">
              <w:rPr>
                <w:rFonts w:ascii="Calibri" w:hAnsi="Calibri"/>
                <w:sz w:val="22"/>
                <w:szCs w:val="22"/>
                <w:lang w:eastAsia="en-US"/>
              </w:rPr>
              <w:t>project</w:t>
            </w:r>
            <w:r>
              <w:rPr>
                <w:rFonts w:ascii="Calibri" w:hAnsi="Calibri"/>
                <w:sz w:val="22"/>
                <w:szCs w:val="22"/>
                <w:lang w:eastAsia="en-US"/>
              </w:rPr>
              <w:t>, that fully adopted DHRP</w:t>
            </w:r>
            <w:r w:rsidRPr="002F52EE">
              <w:rPr>
                <w:rFonts w:ascii="Calibri" w:hAnsi="Calibri"/>
                <w:sz w:val="22"/>
                <w:szCs w:val="22"/>
                <w:lang w:eastAsia="en-US"/>
              </w:rPr>
              <w:t xml:space="preserve"> approach in</w:t>
            </w:r>
            <w:r>
              <w:rPr>
                <w:rFonts w:ascii="Calibri" w:hAnsi="Calibri"/>
                <w:sz w:val="22"/>
                <w:szCs w:val="22"/>
                <w:lang w:eastAsia="en-US"/>
              </w:rPr>
              <w:t xml:space="preserve"> equipping over 100 experts in anti-corruption throughout 2016 – 2017. </w:t>
            </w:r>
          </w:p>
          <w:p w14:paraId="2D1DCFBF" w14:textId="6BB79DD6" w:rsidR="005C3D3C" w:rsidRDefault="005C3D3C" w:rsidP="00B53557">
            <w:pPr>
              <w:jc w:val="both"/>
              <w:rPr>
                <w:rFonts w:ascii="Calibri" w:hAnsi="Calibri"/>
                <w:sz w:val="22"/>
                <w:szCs w:val="22"/>
                <w:lang w:eastAsia="en-US"/>
              </w:rPr>
            </w:pPr>
          </w:p>
          <w:p w14:paraId="7E2F1792" w14:textId="440DA806" w:rsidR="005C3D3C" w:rsidRPr="005C3D3C" w:rsidRDefault="005C3D3C" w:rsidP="00B53557">
            <w:pPr>
              <w:jc w:val="both"/>
              <w:rPr>
                <w:rFonts w:asciiTheme="minorHAnsi" w:hAnsiTheme="minorHAnsi" w:cstheme="minorHAnsi"/>
                <w:b/>
                <w:i/>
                <w:sz w:val="22"/>
                <w:szCs w:val="22"/>
                <w:lang w:val="en-US"/>
              </w:rPr>
            </w:pPr>
            <w:r>
              <w:rPr>
                <w:rFonts w:ascii="Calibri" w:hAnsi="Calibri"/>
                <w:sz w:val="22"/>
                <w:szCs w:val="22"/>
                <w:lang w:eastAsia="en-US"/>
              </w:rPr>
              <w:t xml:space="preserve">See more details on the programme achievements </w:t>
            </w:r>
            <w:r>
              <w:rPr>
                <w:rFonts w:ascii="Calibri" w:hAnsi="Calibri"/>
                <w:sz w:val="22"/>
                <w:szCs w:val="22"/>
                <w:lang w:val="en-US" w:eastAsia="en-US"/>
              </w:rPr>
              <w:t xml:space="preserve">on fostering democratization in </w:t>
            </w:r>
            <w:r>
              <w:rPr>
                <w:rFonts w:asciiTheme="minorHAnsi" w:hAnsiTheme="minorHAnsi" w:cs="Arial"/>
                <w:sz w:val="22"/>
                <w:szCs w:val="22"/>
              </w:rPr>
              <w:t>Annex 1a</w:t>
            </w:r>
            <w:r>
              <w:rPr>
                <w:rFonts w:ascii="Calibri" w:hAnsi="Calibri"/>
                <w:sz w:val="22"/>
                <w:szCs w:val="22"/>
                <w:lang w:val="en-US" w:eastAsia="en-US"/>
              </w:rPr>
              <w:t xml:space="preserve">. </w:t>
            </w:r>
          </w:p>
          <w:p w14:paraId="12F35FA1" w14:textId="36184621" w:rsidR="00B53557" w:rsidRDefault="00B53557" w:rsidP="00B53557">
            <w:pPr>
              <w:jc w:val="both"/>
              <w:rPr>
                <w:rFonts w:asciiTheme="minorHAnsi" w:hAnsiTheme="minorHAnsi" w:cstheme="minorHAnsi"/>
                <w:b/>
                <w:i/>
                <w:sz w:val="22"/>
                <w:szCs w:val="22"/>
              </w:rPr>
            </w:pPr>
          </w:p>
          <w:p w14:paraId="3EB1D832" w14:textId="5C472778" w:rsidR="00B53557" w:rsidRPr="00043659" w:rsidRDefault="00B53557" w:rsidP="00B53557">
            <w:pPr>
              <w:ind w:left="540"/>
              <w:rPr>
                <w:rStyle w:val="hps"/>
                <w:rFonts w:asciiTheme="minorHAnsi" w:hAnsiTheme="minorHAnsi" w:cstheme="minorHAnsi"/>
                <w:b/>
                <w:i/>
                <w:sz w:val="22"/>
                <w:szCs w:val="22"/>
              </w:rPr>
            </w:pPr>
            <w:r>
              <w:rPr>
                <w:rFonts w:asciiTheme="minorHAnsi" w:hAnsiTheme="minorHAnsi" w:cstheme="minorHAnsi"/>
                <w:b/>
                <w:i/>
                <w:noProof/>
                <w:sz w:val="22"/>
                <w:szCs w:val="22"/>
                <w:lang w:val="en-US" w:eastAsia="en-US"/>
              </w:rPr>
              <mc:AlternateContent>
                <mc:Choice Requires="wps">
                  <w:drawing>
                    <wp:anchor distT="0" distB="0" distL="114300" distR="114300" simplePos="0" relativeHeight="251671552" behindDoc="0" locked="0" layoutInCell="1" allowOverlap="1" wp14:anchorId="5C867A93" wp14:editId="2DDDBAFA">
                      <wp:simplePos x="0" y="0"/>
                      <wp:positionH relativeFrom="column">
                        <wp:posOffset>16056</wp:posOffset>
                      </wp:positionH>
                      <wp:positionV relativeFrom="paragraph">
                        <wp:posOffset>17145</wp:posOffset>
                      </wp:positionV>
                      <wp:extent cx="6341424" cy="327660"/>
                      <wp:effectExtent l="0" t="0" r="21590" b="15240"/>
                      <wp:wrapNone/>
                      <wp:docPr id="2" name="Rectangle 2"/>
                      <wp:cNvGraphicFramePr/>
                      <a:graphic xmlns:a="http://schemas.openxmlformats.org/drawingml/2006/main">
                        <a:graphicData uri="http://schemas.microsoft.com/office/word/2010/wordprocessingShape">
                          <wps:wsp>
                            <wps:cNvSpPr/>
                            <wps:spPr>
                              <a:xfrm>
                                <a:off x="0" y="0"/>
                                <a:ext cx="6341424" cy="32766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59AB91" id="Rectangle 2" o:spid="_x0000_s1026" style="position:absolute;margin-left:1.25pt;margin-top:1.35pt;width:499.3pt;height:2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" filled="f" strokecolor="#f79646 [3209]" strokeweight="2pt"/>
                  </w:pict>
                </mc:Fallback>
              </mc:AlternateContent>
            </w:r>
            <w:r w:rsidRPr="00043659">
              <w:rPr>
                <w:rStyle w:val="hps"/>
                <w:rFonts w:asciiTheme="minorHAnsi" w:hAnsiTheme="minorHAnsi" w:cstheme="minorHAnsi"/>
                <w:b/>
                <w:i/>
                <w:sz w:val="22"/>
                <w:szCs w:val="22"/>
              </w:rPr>
              <w:t>IO 2. Civil society and human rights actors have increased capacity and contribute actively to respect for international human rights standards.</w:t>
            </w:r>
          </w:p>
          <w:p w14:paraId="0E870D57" w14:textId="5CD320A8" w:rsidR="00B53557" w:rsidRDefault="00B53557" w:rsidP="00B53557">
            <w:pPr>
              <w:jc w:val="both"/>
              <w:rPr>
                <w:rFonts w:asciiTheme="minorHAnsi" w:hAnsiTheme="minorHAnsi" w:cstheme="minorHAnsi"/>
                <w:sz w:val="22"/>
                <w:szCs w:val="22"/>
              </w:rPr>
            </w:pPr>
          </w:p>
          <w:p w14:paraId="03FE22CC" w14:textId="5718590B" w:rsidR="00B53557" w:rsidRDefault="00B53557" w:rsidP="00B53557">
            <w:pPr>
              <w:rPr>
                <w:rFonts w:ascii="Calibri" w:hAnsi="Calibri"/>
                <w:b/>
                <w:bCs/>
                <w:sz w:val="26"/>
                <w:lang w:eastAsia="en-US"/>
              </w:rPr>
            </w:pPr>
            <w:r>
              <w:rPr>
                <w:rFonts w:ascii="Calibri" w:hAnsi="Calibri"/>
                <w:b/>
                <w:bCs/>
                <w:sz w:val="26"/>
                <w:lang w:eastAsia="en-US"/>
              </w:rPr>
              <w:t>Developing capacities of the National Human Rights Institutions (Ombudsperson Office (OO))</w:t>
            </w:r>
          </w:p>
          <w:p w14:paraId="2A32C001" w14:textId="77FCB51C" w:rsidR="00B53557" w:rsidRDefault="00B53557" w:rsidP="00B53557">
            <w:pPr>
              <w:pStyle w:val="NormalWeb"/>
              <w:spacing w:before="0" w:beforeAutospacing="0" w:after="0" w:afterAutospacing="0"/>
              <w:ind w:left="540"/>
              <w:rPr>
                <w:rFonts w:ascii="Calibri" w:hAnsi="Calibri" w:cs="Calibri"/>
                <w:b/>
                <w:bCs/>
                <w:sz w:val="26"/>
                <w:szCs w:val="26"/>
                <w:lang w:val="en-GB" w:eastAsia="en-US"/>
              </w:rPr>
            </w:pPr>
          </w:p>
          <w:p w14:paraId="1708FE5A" w14:textId="77777777" w:rsidR="00B53557" w:rsidRPr="000D4CD7" w:rsidRDefault="00B53557" w:rsidP="00B53557">
            <w:pPr>
              <w:rPr>
                <w:rFonts w:ascii="Calibri" w:hAnsi="Calibri"/>
                <w:sz w:val="22"/>
                <w:szCs w:val="22"/>
                <w:u w:val="single"/>
                <w:lang w:eastAsia="en-US"/>
              </w:rPr>
            </w:pPr>
            <w:r w:rsidRPr="000D4CD7">
              <w:rPr>
                <w:rFonts w:ascii="Calibri" w:hAnsi="Calibri"/>
                <w:sz w:val="22"/>
                <w:szCs w:val="22"/>
                <w:u w:val="single"/>
                <w:lang w:eastAsia="en-US"/>
              </w:rPr>
              <w:t>National Strategy on Human Rights and Action Plan</w:t>
            </w:r>
          </w:p>
          <w:p w14:paraId="4F127652" w14:textId="77777777" w:rsidR="00B53557" w:rsidRDefault="00B53557" w:rsidP="00B53557">
            <w:pPr>
              <w:ind w:left="540"/>
              <w:rPr>
                <w:u w:val="single"/>
              </w:rPr>
            </w:pPr>
          </w:p>
          <w:p w14:paraId="168B903A" w14:textId="1DD92F73" w:rsidR="00B53557" w:rsidRDefault="00B53557" w:rsidP="00B53557">
            <w:pPr>
              <w:jc w:val="both"/>
              <w:rPr>
                <w:rFonts w:ascii="Calibri" w:hAnsi="Calibri"/>
                <w:sz w:val="22"/>
                <w:szCs w:val="22"/>
                <w:lang w:eastAsia="en-US"/>
              </w:rPr>
            </w:pPr>
            <w:r w:rsidRPr="000D4CD7">
              <w:rPr>
                <w:rFonts w:ascii="Calibri" w:hAnsi="Calibri"/>
                <w:sz w:val="22"/>
                <w:szCs w:val="22"/>
                <w:lang w:eastAsia="en-US"/>
              </w:rPr>
              <w:t xml:space="preserve">One of the biggest results of the Programme’s interventions in the area of human rights development was the </w:t>
            </w:r>
            <w:r w:rsidRPr="005F08EE">
              <w:rPr>
                <w:rFonts w:asciiTheme="minorHAnsi" w:hAnsiTheme="minorHAnsi" w:cstheme="minorHAnsi"/>
                <w:sz w:val="22"/>
                <w:szCs w:val="22"/>
              </w:rPr>
              <w:t>development</w:t>
            </w:r>
            <w:r w:rsidRPr="000D4CD7">
              <w:rPr>
                <w:rFonts w:ascii="Calibri" w:hAnsi="Calibri"/>
                <w:sz w:val="22"/>
                <w:szCs w:val="22"/>
                <w:lang w:eastAsia="en-US"/>
              </w:rPr>
              <w:t xml:space="preserve"> of</w:t>
            </w:r>
            <w:r w:rsidR="00D6798E">
              <w:rPr>
                <w:rFonts w:ascii="Calibri" w:hAnsi="Calibri"/>
                <w:sz w:val="22"/>
                <w:szCs w:val="22"/>
                <w:lang w:eastAsia="en-US"/>
              </w:rPr>
              <w:t xml:space="preserve"> a</w:t>
            </w:r>
            <w:r w:rsidRPr="000D4CD7">
              <w:rPr>
                <w:rFonts w:ascii="Calibri" w:hAnsi="Calibri"/>
                <w:sz w:val="22"/>
                <w:szCs w:val="22"/>
                <w:lang w:eastAsia="en-US"/>
              </w:rPr>
              <w:t xml:space="preserve"> National Strategy on Human Rights and its Action Plan. </w:t>
            </w:r>
          </w:p>
          <w:p w14:paraId="4A9ABC6E" w14:textId="77777777" w:rsidR="00B53557" w:rsidRDefault="00B53557" w:rsidP="00B53557">
            <w:pPr>
              <w:ind w:left="540"/>
              <w:rPr>
                <w:rFonts w:ascii="Calibri" w:hAnsi="Calibri"/>
                <w:sz w:val="22"/>
                <w:szCs w:val="22"/>
                <w:lang w:eastAsia="en-US"/>
              </w:rPr>
            </w:pPr>
          </w:p>
          <w:p w14:paraId="12520767" w14:textId="416211AF" w:rsidR="00B53557" w:rsidRPr="000D4CD7" w:rsidRDefault="00B53557" w:rsidP="00B53557">
            <w:pPr>
              <w:jc w:val="both"/>
              <w:rPr>
                <w:rFonts w:ascii="Calibri" w:hAnsi="Calibri"/>
                <w:sz w:val="22"/>
                <w:szCs w:val="22"/>
                <w:lang w:eastAsia="en-US"/>
              </w:rPr>
            </w:pPr>
            <w:r>
              <w:rPr>
                <w:rFonts w:ascii="Calibri" w:hAnsi="Calibri"/>
                <w:sz w:val="22"/>
                <w:szCs w:val="22"/>
                <w:lang w:eastAsia="en-US"/>
              </w:rPr>
              <w:t xml:space="preserve">DHRP played an important role in the finalization of the draft Strategy by providing expert assistance to ensure </w:t>
            </w:r>
            <w:r w:rsidRPr="005F08EE">
              <w:rPr>
                <w:rFonts w:asciiTheme="minorHAnsi" w:hAnsiTheme="minorHAnsi" w:cstheme="minorHAnsi"/>
                <w:sz w:val="22"/>
                <w:szCs w:val="22"/>
              </w:rPr>
              <w:t>compliance</w:t>
            </w:r>
            <w:r>
              <w:rPr>
                <w:rFonts w:ascii="Calibri" w:hAnsi="Calibri"/>
                <w:sz w:val="22"/>
                <w:szCs w:val="22"/>
                <w:lang w:eastAsia="en-US"/>
              </w:rPr>
              <w:t xml:space="preserve"> with the UN principles</w:t>
            </w:r>
            <w:r w:rsidR="00D6798E">
              <w:rPr>
                <w:rFonts w:ascii="Calibri" w:hAnsi="Calibri"/>
                <w:sz w:val="22"/>
                <w:szCs w:val="22"/>
                <w:lang w:eastAsia="en-US"/>
              </w:rPr>
              <w:t>,</w:t>
            </w:r>
            <w:r>
              <w:rPr>
                <w:rFonts w:ascii="Calibri" w:hAnsi="Calibri"/>
                <w:sz w:val="22"/>
                <w:szCs w:val="22"/>
                <w:lang w:eastAsia="en-US"/>
              </w:rPr>
              <w:t xml:space="preserve"> and coordinating the work of many stakeholders involved in the development of this key national document. The Strategy was approved by the President of Ukraine </w:t>
            </w:r>
            <w:r w:rsidR="00D6798E">
              <w:rPr>
                <w:rFonts w:ascii="Calibri" w:hAnsi="Calibri"/>
                <w:sz w:val="22"/>
                <w:szCs w:val="22"/>
                <w:lang w:eastAsia="en-US"/>
              </w:rPr>
              <w:t>o</w:t>
            </w:r>
            <w:r>
              <w:rPr>
                <w:rFonts w:ascii="Calibri" w:hAnsi="Calibri"/>
                <w:sz w:val="22"/>
                <w:szCs w:val="22"/>
                <w:lang w:eastAsia="en-US"/>
              </w:rPr>
              <w:t xml:space="preserve">n August 2015. DHRP enabled participatory development of the Action Plan for the Strategy to ensure </w:t>
            </w:r>
            <w:r w:rsidR="00D6798E">
              <w:rPr>
                <w:rFonts w:ascii="Calibri" w:hAnsi="Calibri"/>
                <w:sz w:val="22"/>
                <w:szCs w:val="22"/>
                <w:lang w:eastAsia="en-US"/>
              </w:rPr>
              <w:t xml:space="preserve">the </w:t>
            </w:r>
            <w:r>
              <w:rPr>
                <w:rFonts w:ascii="Calibri" w:hAnsi="Calibri"/>
                <w:sz w:val="22"/>
                <w:szCs w:val="22"/>
                <w:lang w:eastAsia="en-US"/>
              </w:rPr>
              <w:t xml:space="preserve">sustainable results of the Strategy implementation (approved by the Prime Minister in November 2015). </w:t>
            </w:r>
            <w:r w:rsidRPr="000D4CD7">
              <w:rPr>
                <w:rFonts w:ascii="Calibri" w:hAnsi="Calibri"/>
                <w:sz w:val="22"/>
                <w:szCs w:val="22"/>
                <w:lang w:eastAsia="en-US"/>
              </w:rPr>
              <w:t>It was achieved through targete</w:t>
            </w:r>
            <w:r>
              <w:rPr>
                <w:rFonts w:ascii="Calibri" w:hAnsi="Calibri"/>
                <w:sz w:val="22"/>
                <w:szCs w:val="22"/>
                <w:lang w:eastAsia="en-US"/>
              </w:rPr>
              <w:t xml:space="preserve">d capacity-building activities </w:t>
            </w:r>
            <w:r w:rsidRPr="000D4CD7">
              <w:rPr>
                <w:rFonts w:ascii="Calibri" w:hAnsi="Calibri"/>
                <w:sz w:val="22"/>
                <w:szCs w:val="22"/>
                <w:lang w:eastAsia="en-US"/>
              </w:rPr>
              <w:t>for Ukrainian officials, OO staff and CSOs</w:t>
            </w:r>
            <w:r>
              <w:rPr>
                <w:rFonts w:ascii="Calibri" w:hAnsi="Calibri"/>
                <w:sz w:val="22"/>
                <w:szCs w:val="22"/>
                <w:lang w:eastAsia="en-US"/>
              </w:rPr>
              <w:t>, study visits and expert support</w:t>
            </w:r>
            <w:r w:rsidRPr="000D4CD7">
              <w:rPr>
                <w:rFonts w:ascii="Calibri" w:hAnsi="Calibri"/>
                <w:sz w:val="22"/>
                <w:szCs w:val="22"/>
                <w:lang w:eastAsia="en-US"/>
              </w:rPr>
              <w:t xml:space="preserve">. </w:t>
            </w:r>
          </w:p>
          <w:p w14:paraId="34BCEFB4" w14:textId="6FF2A533" w:rsidR="00B53557" w:rsidRDefault="00B53557" w:rsidP="00B53557">
            <w:pPr>
              <w:pStyle w:val="NormalWeb"/>
              <w:spacing w:before="0" w:beforeAutospacing="0" w:after="0" w:afterAutospacing="0"/>
              <w:ind w:left="540"/>
              <w:rPr>
                <w:rFonts w:ascii="Calibri" w:hAnsi="Calibri" w:cs="Calibri"/>
                <w:sz w:val="26"/>
                <w:szCs w:val="26"/>
                <w:lang w:val="en-GB" w:eastAsia="en-US"/>
              </w:rPr>
            </w:pPr>
          </w:p>
          <w:p w14:paraId="0C791ADF" w14:textId="77777777" w:rsidR="00B53557" w:rsidRDefault="00B53557" w:rsidP="00B53557">
            <w:pPr>
              <w:jc w:val="both"/>
              <w:rPr>
                <w:rFonts w:ascii="Calibri" w:hAnsi="Calibri"/>
                <w:sz w:val="22"/>
                <w:szCs w:val="22"/>
                <w:lang w:eastAsia="en-US"/>
              </w:rPr>
            </w:pPr>
            <w:r w:rsidRPr="00FA1782">
              <w:rPr>
                <w:rFonts w:ascii="Calibri" w:hAnsi="Calibri"/>
                <w:i/>
                <w:sz w:val="22"/>
                <w:szCs w:val="22"/>
                <w:lang w:eastAsia="en-US"/>
              </w:rPr>
              <w:t>“The drafting of the National Strategy on Human Rights and its Action Plan represent one of the fundamental contributions of the DHRP to human rights in Ukraine during 2014-2017”</w:t>
            </w:r>
            <w:r>
              <w:rPr>
                <w:rFonts w:ascii="Calibri" w:hAnsi="Calibri"/>
                <w:sz w:val="22"/>
                <w:szCs w:val="22"/>
                <w:lang w:eastAsia="en-US"/>
              </w:rPr>
              <w:t xml:space="preserve"> (DHRP Final Evaluation). The Strategy design and its implementation is important for the country also from the perspective of </w:t>
            </w:r>
            <w:r w:rsidRPr="005F08EE">
              <w:rPr>
                <w:rFonts w:asciiTheme="minorHAnsi" w:hAnsiTheme="minorHAnsi" w:cstheme="minorHAnsi"/>
                <w:sz w:val="22"/>
                <w:szCs w:val="22"/>
              </w:rPr>
              <w:t>achieving</w:t>
            </w:r>
            <w:r>
              <w:rPr>
                <w:rFonts w:ascii="Calibri" w:hAnsi="Calibri"/>
                <w:sz w:val="22"/>
                <w:szCs w:val="22"/>
                <w:lang w:eastAsia="en-US"/>
              </w:rPr>
              <w:t xml:space="preserve"> Sustainable Development Goals targets, as it is perfectly aligned with the 2030 Agenda objectives to promote rights of people for good health and well-being (SDG 3), quality education (SDG 4), gender equality (SDG 5), decent work and economic growth (SDG 8), reduced inequalities (SDG 10) and peace, justice and strong institutions (SDG 16). </w:t>
            </w:r>
          </w:p>
          <w:p w14:paraId="6B656B0C" w14:textId="77777777" w:rsidR="00B53557" w:rsidRDefault="00B53557" w:rsidP="00B53557">
            <w:pPr>
              <w:ind w:left="540"/>
              <w:rPr>
                <w:rFonts w:ascii="Calibri" w:hAnsi="Calibri"/>
                <w:sz w:val="22"/>
                <w:szCs w:val="22"/>
                <w:lang w:eastAsia="en-US"/>
              </w:rPr>
            </w:pPr>
          </w:p>
          <w:p w14:paraId="4AB88ADD" w14:textId="693CD3EA" w:rsidR="00B53557" w:rsidRPr="009227DE" w:rsidRDefault="00B53557" w:rsidP="00B53557">
            <w:pPr>
              <w:jc w:val="both"/>
              <w:rPr>
                <w:rFonts w:ascii="Calibri" w:hAnsi="Calibri"/>
                <w:sz w:val="22"/>
                <w:szCs w:val="22"/>
                <w:lang w:eastAsia="en-US"/>
              </w:rPr>
            </w:pPr>
            <w:r>
              <w:rPr>
                <w:rFonts w:ascii="Calibri" w:hAnsi="Calibri"/>
                <w:sz w:val="22"/>
                <w:szCs w:val="22"/>
                <w:lang w:eastAsia="en-US"/>
              </w:rPr>
              <w:t>T</w:t>
            </w:r>
            <w:r w:rsidRPr="009227DE">
              <w:rPr>
                <w:rFonts w:ascii="Calibri" w:hAnsi="Calibri"/>
                <w:sz w:val="22"/>
                <w:szCs w:val="22"/>
                <w:lang w:eastAsia="en-US"/>
              </w:rPr>
              <w:t>he Ombudsperson</w:t>
            </w:r>
            <w:r>
              <w:rPr>
                <w:rFonts w:ascii="Calibri" w:hAnsi="Calibri"/>
                <w:sz w:val="22"/>
                <w:szCs w:val="22"/>
                <w:lang w:eastAsia="en-US"/>
              </w:rPr>
              <w:t>’s Office</w:t>
            </w:r>
            <w:r w:rsidRPr="009227DE">
              <w:rPr>
                <w:rFonts w:ascii="Calibri" w:hAnsi="Calibri"/>
                <w:sz w:val="22"/>
                <w:szCs w:val="22"/>
                <w:lang w:eastAsia="en-US"/>
              </w:rPr>
              <w:t xml:space="preserve"> and 65 civil society organizations (represented by 96 experts and civic activists) formed a platform for coordinating monitoring efforts on the NHRS and AP implementation</w:t>
            </w:r>
            <w:r>
              <w:rPr>
                <w:rFonts w:ascii="Calibri" w:hAnsi="Calibri"/>
                <w:sz w:val="22"/>
                <w:szCs w:val="22"/>
                <w:lang w:eastAsia="en-US"/>
              </w:rPr>
              <w:t xml:space="preserve">. Currently, the </w:t>
            </w:r>
            <w:r w:rsidRPr="005F08EE">
              <w:rPr>
                <w:rFonts w:asciiTheme="minorHAnsi" w:hAnsiTheme="minorHAnsi" w:cstheme="minorHAnsi"/>
                <w:sz w:val="22"/>
                <w:szCs w:val="22"/>
              </w:rPr>
              <w:t>implementation</w:t>
            </w:r>
            <w:r>
              <w:rPr>
                <w:rFonts w:ascii="Calibri" w:hAnsi="Calibri"/>
                <w:sz w:val="22"/>
                <w:szCs w:val="22"/>
                <w:lang w:eastAsia="en-US"/>
              </w:rPr>
              <w:t xml:space="preserve"> of the plan, however, is noted to be at 20% level, indicating the need to further strengthen support of the human rights actors in Ukraine in this regard.</w:t>
            </w:r>
          </w:p>
          <w:p w14:paraId="47899326" w14:textId="5C64D50B" w:rsidR="00B53557" w:rsidRPr="00CE2B3F" w:rsidRDefault="00B53557" w:rsidP="00B53557">
            <w:pPr>
              <w:ind w:left="540"/>
              <w:rPr>
                <w:rFonts w:ascii="Calibri" w:hAnsi="Calibri"/>
                <w:sz w:val="22"/>
                <w:szCs w:val="22"/>
                <w:u w:val="single"/>
                <w:lang w:eastAsia="en-US"/>
              </w:rPr>
            </w:pPr>
            <w:r w:rsidRPr="009C1EDC">
              <w:rPr>
                <w:rFonts w:ascii="Calibri" w:hAnsi="Calibri"/>
                <w:sz w:val="22"/>
                <w:szCs w:val="22"/>
                <w:lang w:eastAsia="en-US"/>
              </w:rPr>
              <w:t> </w:t>
            </w:r>
          </w:p>
          <w:p w14:paraId="234DF36B" w14:textId="754FAAD1" w:rsidR="00B53557" w:rsidRDefault="00B53557" w:rsidP="00B53557">
            <w:pPr>
              <w:rPr>
                <w:rFonts w:ascii="Calibri" w:hAnsi="Calibri"/>
                <w:sz w:val="22"/>
                <w:szCs w:val="22"/>
                <w:u w:val="single"/>
                <w:lang w:eastAsia="en-US"/>
              </w:rPr>
            </w:pPr>
            <w:r w:rsidRPr="00CE2B3F">
              <w:rPr>
                <w:rFonts w:ascii="Calibri" w:hAnsi="Calibri"/>
                <w:sz w:val="22"/>
                <w:szCs w:val="22"/>
                <w:u w:val="single"/>
                <w:lang w:eastAsia="en-US"/>
              </w:rPr>
              <w:t>Support to the Office of</w:t>
            </w:r>
            <w:r>
              <w:rPr>
                <w:rFonts w:ascii="Calibri" w:hAnsi="Calibri"/>
                <w:sz w:val="22"/>
                <w:szCs w:val="22"/>
                <w:u w:val="single"/>
                <w:lang w:eastAsia="en-US"/>
              </w:rPr>
              <w:t xml:space="preserve"> the</w:t>
            </w:r>
            <w:r w:rsidRPr="00CE2B3F">
              <w:rPr>
                <w:rFonts w:ascii="Calibri" w:hAnsi="Calibri"/>
                <w:sz w:val="22"/>
                <w:szCs w:val="22"/>
                <w:u w:val="single"/>
                <w:lang w:eastAsia="en-US"/>
              </w:rPr>
              <w:t xml:space="preserve"> Ombudsperson </w:t>
            </w:r>
          </w:p>
          <w:p w14:paraId="0C5917A7" w14:textId="50ED21BB" w:rsidR="00B53557" w:rsidRDefault="00B53557" w:rsidP="00B53557">
            <w:pPr>
              <w:ind w:left="540"/>
              <w:rPr>
                <w:rFonts w:ascii="Calibri" w:hAnsi="Calibri"/>
                <w:sz w:val="22"/>
                <w:szCs w:val="22"/>
                <w:u w:val="single"/>
                <w:lang w:eastAsia="en-US"/>
              </w:rPr>
            </w:pPr>
          </w:p>
          <w:p w14:paraId="6625CD03" w14:textId="13D9ADB7" w:rsidR="00B53557" w:rsidRDefault="00B53557" w:rsidP="00B53557">
            <w:pPr>
              <w:jc w:val="both"/>
              <w:rPr>
                <w:rFonts w:ascii="Calibri" w:hAnsi="Calibri"/>
                <w:sz w:val="22"/>
                <w:szCs w:val="22"/>
                <w:lang w:eastAsia="en-US"/>
              </w:rPr>
            </w:pPr>
            <w:r>
              <w:rPr>
                <w:rFonts w:ascii="Calibri" w:hAnsi="Calibri"/>
                <w:sz w:val="22"/>
                <w:szCs w:val="22"/>
                <w:lang w:eastAsia="en-US"/>
              </w:rPr>
              <w:t>DHRP supported CSOs that were able to build capacities within the OO and establish CSO-government dialogue. Following the assessment of the OO in 2012 by the Programme and subsequent development of the ‘</w:t>
            </w:r>
            <w:r w:rsidRPr="005F08EE">
              <w:rPr>
                <w:rFonts w:asciiTheme="minorHAnsi" w:hAnsiTheme="minorHAnsi" w:cstheme="minorHAnsi"/>
                <w:sz w:val="22"/>
                <w:szCs w:val="22"/>
              </w:rPr>
              <w:t>’Ombudsperson</w:t>
            </w:r>
            <w:r>
              <w:rPr>
                <w:rFonts w:ascii="Calibri" w:hAnsi="Calibri"/>
                <w:sz w:val="22"/>
                <w:szCs w:val="22"/>
                <w:lang w:eastAsia="en-US"/>
              </w:rPr>
              <w:t xml:space="preserve"> Strategy and Action Plan for 2013-2017’’, DHRP enabled the OO to fulfil its mandate as the National Human Rights Institution of Ukraine, including supporting the National Human Rights strategy for Ukraine, its Action Plan, and developing the National Preventative Mechanism (NPM). </w:t>
            </w:r>
          </w:p>
          <w:p w14:paraId="59742436" w14:textId="579E0634" w:rsidR="00B53557" w:rsidRDefault="00B53557" w:rsidP="00B53557">
            <w:pPr>
              <w:ind w:left="540"/>
              <w:rPr>
                <w:rFonts w:ascii="Calibri" w:hAnsi="Calibri"/>
                <w:sz w:val="22"/>
                <w:szCs w:val="22"/>
                <w:lang w:eastAsia="en-US"/>
              </w:rPr>
            </w:pPr>
          </w:p>
          <w:p w14:paraId="74F959A4" w14:textId="1C1B7D86" w:rsidR="00B53557" w:rsidRPr="009C1EDC" w:rsidRDefault="00B53557" w:rsidP="00B53557">
            <w:pPr>
              <w:jc w:val="both"/>
              <w:rPr>
                <w:rFonts w:ascii="Calibri" w:hAnsi="Calibri"/>
                <w:sz w:val="22"/>
                <w:szCs w:val="22"/>
                <w:lang w:eastAsia="en-US"/>
              </w:rPr>
            </w:pPr>
            <w:r w:rsidRPr="009C1EDC">
              <w:rPr>
                <w:rFonts w:ascii="Calibri" w:hAnsi="Calibri"/>
                <w:sz w:val="22"/>
                <w:szCs w:val="22"/>
                <w:lang w:eastAsia="en-US"/>
              </w:rPr>
              <w:t xml:space="preserve">The </w:t>
            </w:r>
            <w:r w:rsidRPr="005F08EE">
              <w:rPr>
                <w:rFonts w:asciiTheme="minorHAnsi" w:hAnsiTheme="minorHAnsi" w:cstheme="minorHAnsi"/>
                <w:sz w:val="22"/>
                <w:szCs w:val="22"/>
              </w:rPr>
              <w:t>Programme</w:t>
            </w:r>
            <w:r w:rsidRPr="009C1EDC">
              <w:rPr>
                <w:rFonts w:ascii="Calibri" w:hAnsi="Calibri"/>
                <w:sz w:val="22"/>
                <w:szCs w:val="22"/>
                <w:lang w:eastAsia="en-US"/>
              </w:rPr>
              <w:t xml:space="preserve"> ensured expansion of the OO regional coordinators network in 12 oblasts, enabling 1,140 legal consultations and 301 court hearing</w:t>
            </w:r>
            <w:r>
              <w:rPr>
                <w:rFonts w:ascii="Calibri" w:hAnsi="Calibri"/>
                <w:sz w:val="22"/>
                <w:szCs w:val="22"/>
                <w:lang w:eastAsia="en-US"/>
              </w:rPr>
              <w:t>s</w:t>
            </w:r>
            <w:r w:rsidRPr="009C1EDC">
              <w:rPr>
                <w:rFonts w:ascii="Calibri" w:hAnsi="Calibri"/>
                <w:sz w:val="22"/>
                <w:szCs w:val="22"/>
                <w:lang w:eastAsia="en-US"/>
              </w:rPr>
              <w:t xml:space="preserve"> to protect the rights of Ukrainian citizens.</w:t>
            </w:r>
            <w:r>
              <w:rPr>
                <w:rFonts w:ascii="Calibri" w:hAnsi="Calibri"/>
                <w:sz w:val="22"/>
                <w:szCs w:val="22"/>
                <w:lang w:eastAsia="en-US"/>
              </w:rPr>
              <w:t xml:space="preserve"> The number of consultations provided to the citizens has been significantly increasing since 2014.  DHRP also </w:t>
            </w:r>
            <w:r w:rsidRPr="009C1EDC">
              <w:rPr>
                <w:rFonts w:ascii="Calibri" w:hAnsi="Calibri"/>
                <w:sz w:val="22"/>
                <w:szCs w:val="22"/>
                <w:lang w:eastAsia="en-US"/>
              </w:rPr>
              <w:t xml:space="preserve">built </w:t>
            </w:r>
            <w:r w:rsidR="00D83AA1">
              <w:rPr>
                <w:rFonts w:ascii="Calibri" w:hAnsi="Calibri"/>
                <w:sz w:val="22"/>
                <w:szCs w:val="22"/>
                <w:lang w:eastAsia="en-US"/>
              </w:rPr>
              <w:t xml:space="preserve">the </w:t>
            </w:r>
            <w:r w:rsidRPr="009C1EDC">
              <w:rPr>
                <w:rFonts w:ascii="Calibri" w:hAnsi="Calibri"/>
                <w:sz w:val="22"/>
                <w:szCs w:val="22"/>
                <w:lang w:eastAsia="en-US"/>
              </w:rPr>
              <w:t>capacities of 25 civic activists from 15 regions of Ukraine to monitor places of deprivation of liberty</w:t>
            </w:r>
            <w:r w:rsidR="00D83AA1">
              <w:rPr>
                <w:rFonts w:ascii="Calibri" w:hAnsi="Calibri"/>
                <w:sz w:val="22"/>
                <w:szCs w:val="22"/>
                <w:lang w:eastAsia="en-US"/>
              </w:rPr>
              <w:t>,</w:t>
            </w:r>
            <w:r w:rsidRPr="009C1EDC">
              <w:rPr>
                <w:rFonts w:ascii="Calibri" w:hAnsi="Calibri"/>
                <w:sz w:val="22"/>
                <w:szCs w:val="22"/>
                <w:lang w:eastAsia="en-US"/>
              </w:rPr>
              <w:t xml:space="preserve"> and enabled them to become National Preventive Mechanism monitors under the "Ombudsperson+" model. </w:t>
            </w:r>
          </w:p>
          <w:p w14:paraId="6460E9E1" w14:textId="7147745F" w:rsidR="00B53557" w:rsidRDefault="00B53557" w:rsidP="00B53557">
            <w:pPr>
              <w:ind w:left="540"/>
              <w:rPr>
                <w:rFonts w:ascii="Calibri" w:hAnsi="Calibri"/>
                <w:sz w:val="22"/>
                <w:szCs w:val="22"/>
                <w:lang w:eastAsia="en-US"/>
              </w:rPr>
            </w:pPr>
          </w:p>
          <w:p w14:paraId="5D485732" w14:textId="48B19FD2" w:rsidR="00B53557" w:rsidRDefault="00B53557" w:rsidP="00B53557">
            <w:pPr>
              <w:jc w:val="both"/>
              <w:rPr>
                <w:rFonts w:ascii="Calibri" w:hAnsi="Calibri"/>
                <w:sz w:val="22"/>
                <w:szCs w:val="22"/>
                <w:lang w:eastAsia="en-US"/>
              </w:rPr>
            </w:pPr>
            <w:r>
              <w:rPr>
                <w:rFonts w:ascii="Calibri" w:hAnsi="Calibri"/>
                <w:sz w:val="22"/>
                <w:szCs w:val="22"/>
                <w:lang w:eastAsia="en-US"/>
              </w:rPr>
              <w:t xml:space="preserve">DHRP was able to bridge the gap between the OO and CSOs. The result of this partnership was the monitoring of compliance with the Law on Access to Public Information, monitoring of Criminal Procedure Code and its </w:t>
            </w:r>
            <w:r w:rsidRPr="005F08EE">
              <w:rPr>
                <w:rFonts w:asciiTheme="minorHAnsi" w:hAnsiTheme="minorHAnsi" w:cstheme="minorHAnsi"/>
                <w:sz w:val="22"/>
                <w:szCs w:val="22"/>
              </w:rPr>
              <w:t>application</w:t>
            </w:r>
            <w:r>
              <w:rPr>
                <w:rFonts w:ascii="Calibri" w:hAnsi="Calibri"/>
                <w:sz w:val="22"/>
                <w:szCs w:val="22"/>
                <w:lang w:eastAsia="en-US"/>
              </w:rPr>
              <w:t xml:space="preserve">, the establishment of the IDP Resource Centre in 2014, etc. </w:t>
            </w:r>
          </w:p>
          <w:p w14:paraId="5E082B11" w14:textId="7A691C04" w:rsidR="00B53557" w:rsidRDefault="00B53557" w:rsidP="00B53557">
            <w:pPr>
              <w:ind w:left="540"/>
              <w:rPr>
                <w:rFonts w:ascii="Calibri" w:hAnsi="Calibri"/>
                <w:sz w:val="22"/>
                <w:szCs w:val="22"/>
                <w:lang w:eastAsia="en-US"/>
              </w:rPr>
            </w:pPr>
          </w:p>
          <w:p w14:paraId="2D64B46C" w14:textId="6682FDEB" w:rsidR="00B53557" w:rsidRDefault="00B53557" w:rsidP="00B53557">
            <w:pPr>
              <w:jc w:val="both"/>
              <w:rPr>
                <w:rFonts w:ascii="Calibri" w:hAnsi="Calibri"/>
                <w:sz w:val="22"/>
                <w:szCs w:val="22"/>
                <w:lang w:eastAsia="en-US"/>
              </w:rPr>
            </w:pPr>
            <w:r>
              <w:rPr>
                <w:rFonts w:ascii="Calibri" w:hAnsi="Calibri"/>
                <w:sz w:val="22"/>
                <w:szCs w:val="22"/>
                <w:lang w:eastAsia="en-US"/>
              </w:rPr>
              <w:t xml:space="preserve">The strong results of the Project were integrated into the new UNDP/DMFA project - </w:t>
            </w:r>
            <w:r>
              <w:rPr>
                <w:rFonts w:asciiTheme="minorHAnsi" w:hAnsiTheme="minorHAnsi" w:cstheme="minorHAnsi"/>
                <w:sz w:val="22"/>
                <w:szCs w:val="22"/>
              </w:rPr>
              <w:t>‘’</w:t>
            </w:r>
            <w:r w:rsidRPr="00FA1782">
              <w:rPr>
                <w:rFonts w:asciiTheme="minorHAnsi" w:hAnsiTheme="minorHAnsi" w:cstheme="minorHAnsi"/>
                <w:sz w:val="22"/>
                <w:szCs w:val="22"/>
              </w:rPr>
              <w:t>Strengthening Capacities of the Office of the Ombudsperson</w:t>
            </w:r>
            <w:r>
              <w:rPr>
                <w:rFonts w:asciiTheme="minorHAnsi" w:hAnsiTheme="minorHAnsi" w:cstheme="minorHAnsi"/>
                <w:sz w:val="22"/>
                <w:szCs w:val="22"/>
              </w:rPr>
              <w:t xml:space="preserve">’’ project, that </w:t>
            </w:r>
            <w:r w:rsidRPr="009C1EDC">
              <w:rPr>
                <w:rFonts w:ascii="Calibri" w:hAnsi="Calibri"/>
                <w:sz w:val="22"/>
                <w:szCs w:val="22"/>
                <w:lang w:eastAsia="en-US"/>
              </w:rPr>
              <w:t>builds on the expertise and experience of DHRP</w:t>
            </w:r>
            <w:r>
              <w:rPr>
                <w:rFonts w:asciiTheme="minorHAnsi" w:hAnsiTheme="minorHAnsi" w:cstheme="minorHAnsi"/>
                <w:sz w:val="22"/>
                <w:szCs w:val="22"/>
              </w:rPr>
              <w:t xml:space="preserve"> and carries on the important work in promoting OO and human rights in Ukraine. </w:t>
            </w:r>
          </w:p>
          <w:p w14:paraId="23A32DC9" w14:textId="77777777" w:rsidR="00B53557" w:rsidRDefault="00B53557" w:rsidP="00B53557">
            <w:pPr>
              <w:ind w:left="540"/>
              <w:rPr>
                <w:rFonts w:ascii="Calibri" w:hAnsi="Calibri"/>
                <w:sz w:val="22"/>
                <w:szCs w:val="22"/>
                <w:lang w:eastAsia="en-US"/>
              </w:rPr>
            </w:pPr>
          </w:p>
          <w:p w14:paraId="60DE1934" w14:textId="6728D345" w:rsidR="00B53557" w:rsidRPr="000D4CD7" w:rsidRDefault="00B53557" w:rsidP="00B53557">
            <w:pPr>
              <w:rPr>
                <w:rFonts w:ascii="Calibri" w:hAnsi="Calibri"/>
                <w:sz w:val="22"/>
                <w:szCs w:val="22"/>
                <w:u w:val="single"/>
                <w:lang w:eastAsia="en-US"/>
              </w:rPr>
            </w:pPr>
            <w:r w:rsidRPr="000D4CD7">
              <w:rPr>
                <w:rFonts w:ascii="Calibri" w:hAnsi="Calibri"/>
                <w:sz w:val="22"/>
                <w:szCs w:val="22"/>
                <w:u w:val="single"/>
                <w:lang w:eastAsia="en-US"/>
              </w:rPr>
              <w:t>International Human Rights Mechanisms</w:t>
            </w:r>
          </w:p>
          <w:p w14:paraId="310D7EA4" w14:textId="77777777" w:rsidR="00B53557" w:rsidRDefault="00B53557" w:rsidP="00B53557">
            <w:pPr>
              <w:ind w:left="540"/>
              <w:rPr>
                <w:rFonts w:ascii="Calibri" w:hAnsi="Calibri"/>
                <w:sz w:val="22"/>
                <w:szCs w:val="22"/>
                <w:lang w:eastAsia="en-US"/>
              </w:rPr>
            </w:pPr>
          </w:p>
          <w:p w14:paraId="03DEE4A3" w14:textId="6A4D3A44" w:rsidR="00B53557" w:rsidRPr="009C1EDC" w:rsidRDefault="00B53557" w:rsidP="00B53557">
            <w:pPr>
              <w:jc w:val="both"/>
              <w:rPr>
                <w:rFonts w:ascii="Calibri" w:hAnsi="Calibri"/>
                <w:sz w:val="22"/>
                <w:szCs w:val="22"/>
                <w:lang w:eastAsia="en-US"/>
              </w:rPr>
            </w:pPr>
            <w:r>
              <w:rPr>
                <w:rFonts w:ascii="Calibri" w:hAnsi="Calibri"/>
                <w:sz w:val="22"/>
                <w:szCs w:val="22"/>
                <w:lang w:eastAsia="en-US"/>
              </w:rPr>
              <w:t xml:space="preserve">DHRP </w:t>
            </w:r>
            <w:r w:rsidRPr="005F08EE">
              <w:rPr>
                <w:rFonts w:asciiTheme="minorHAnsi" w:hAnsiTheme="minorHAnsi" w:cstheme="minorHAnsi"/>
                <w:sz w:val="22"/>
                <w:szCs w:val="22"/>
              </w:rPr>
              <w:t>supported</w:t>
            </w:r>
            <w:r w:rsidRPr="009C1EDC">
              <w:rPr>
                <w:rFonts w:ascii="Calibri" w:hAnsi="Calibri"/>
                <w:sz w:val="22"/>
                <w:szCs w:val="22"/>
                <w:lang w:eastAsia="en-US"/>
              </w:rPr>
              <w:t xml:space="preserve"> the Ukrainian civil society organizations</w:t>
            </w:r>
            <w:r>
              <w:rPr>
                <w:rFonts w:ascii="Calibri" w:hAnsi="Calibri"/>
                <w:sz w:val="22"/>
                <w:szCs w:val="22"/>
                <w:lang w:eastAsia="en-US"/>
              </w:rPr>
              <w:t xml:space="preserve"> and the Office of the Ombudsperson in Ukraine</w:t>
            </w:r>
            <w:r w:rsidRPr="009C1EDC">
              <w:rPr>
                <w:rFonts w:ascii="Calibri" w:hAnsi="Calibri"/>
                <w:sz w:val="22"/>
                <w:szCs w:val="22"/>
                <w:lang w:eastAsia="en-US"/>
              </w:rPr>
              <w:t xml:space="preserve"> in becoming more </w:t>
            </w:r>
            <w:r w:rsidR="00D83AA1">
              <w:rPr>
                <w:rFonts w:ascii="Calibri" w:hAnsi="Calibri"/>
                <w:sz w:val="22"/>
                <w:szCs w:val="22"/>
                <w:lang w:eastAsia="en-US"/>
              </w:rPr>
              <w:t xml:space="preserve">a </w:t>
            </w:r>
            <w:r w:rsidRPr="009C1EDC">
              <w:rPr>
                <w:rFonts w:ascii="Calibri" w:hAnsi="Calibri"/>
                <w:sz w:val="22"/>
                <w:szCs w:val="22"/>
                <w:lang w:eastAsia="en-US"/>
              </w:rPr>
              <w:t>consolidate</w:t>
            </w:r>
            <w:r>
              <w:rPr>
                <w:rFonts w:ascii="Calibri" w:hAnsi="Calibri"/>
                <w:sz w:val="22"/>
                <w:szCs w:val="22"/>
                <w:lang w:eastAsia="en-US"/>
              </w:rPr>
              <w:t>d</w:t>
            </w:r>
            <w:r w:rsidRPr="009C1EDC">
              <w:rPr>
                <w:rFonts w:ascii="Calibri" w:hAnsi="Calibri"/>
                <w:sz w:val="22"/>
                <w:szCs w:val="22"/>
                <w:lang w:eastAsia="en-US"/>
              </w:rPr>
              <w:t xml:space="preserve"> force in monitoring international </w:t>
            </w:r>
            <w:r>
              <w:rPr>
                <w:rFonts w:ascii="Calibri" w:hAnsi="Calibri"/>
                <w:sz w:val="22"/>
                <w:szCs w:val="22"/>
                <w:lang w:eastAsia="en-US"/>
              </w:rPr>
              <w:t xml:space="preserve">commitments on human rights. The programme </w:t>
            </w:r>
            <w:r w:rsidRPr="009C1EDC">
              <w:rPr>
                <w:rFonts w:ascii="Calibri" w:hAnsi="Calibri"/>
                <w:sz w:val="22"/>
                <w:szCs w:val="22"/>
                <w:lang w:eastAsia="en-US"/>
              </w:rPr>
              <w:t>stimulated operations of several thematic coalition</w:t>
            </w:r>
            <w:r w:rsidR="00D83AA1">
              <w:rPr>
                <w:rFonts w:ascii="Calibri" w:hAnsi="Calibri"/>
                <w:sz w:val="22"/>
                <w:szCs w:val="22"/>
                <w:lang w:eastAsia="en-US"/>
              </w:rPr>
              <w:t>s</w:t>
            </w:r>
            <w:r w:rsidRPr="009C1EDC">
              <w:rPr>
                <w:rFonts w:ascii="Calibri" w:hAnsi="Calibri"/>
                <w:sz w:val="22"/>
                <w:szCs w:val="22"/>
                <w:lang w:eastAsia="en-US"/>
              </w:rPr>
              <w:t xml:space="preserve"> that presented an alternative view of the situation</w:t>
            </w:r>
            <w:r w:rsidR="00D83AA1">
              <w:rPr>
                <w:rFonts w:ascii="Calibri" w:hAnsi="Calibri"/>
                <w:sz w:val="22"/>
                <w:szCs w:val="22"/>
                <w:lang w:eastAsia="en-US"/>
              </w:rPr>
              <w:t>,</w:t>
            </w:r>
            <w:r w:rsidRPr="009C1EDC">
              <w:rPr>
                <w:rFonts w:ascii="Calibri" w:hAnsi="Calibri"/>
                <w:sz w:val="22"/>
                <w:szCs w:val="22"/>
                <w:lang w:eastAsia="en-US"/>
              </w:rPr>
              <w:t xml:space="preserve"> and demanded accountability from the duty bearers at the international review platforms. </w:t>
            </w:r>
          </w:p>
          <w:p w14:paraId="18F5EDCD" w14:textId="77777777" w:rsidR="00B53557" w:rsidRPr="009C1EDC" w:rsidRDefault="00B53557" w:rsidP="00B53557">
            <w:pPr>
              <w:ind w:left="540"/>
              <w:rPr>
                <w:rFonts w:ascii="Calibri" w:hAnsi="Calibri"/>
                <w:sz w:val="22"/>
                <w:szCs w:val="22"/>
                <w:lang w:eastAsia="en-US"/>
              </w:rPr>
            </w:pPr>
            <w:r w:rsidRPr="009C1EDC">
              <w:rPr>
                <w:rFonts w:ascii="Calibri" w:hAnsi="Calibri"/>
                <w:sz w:val="22"/>
                <w:szCs w:val="22"/>
                <w:lang w:eastAsia="en-US"/>
              </w:rPr>
              <w:t> </w:t>
            </w:r>
          </w:p>
          <w:p w14:paraId="2DB087DF" w14:textId="4B5F2B76" w:rsidR="00B53557" w:rsidRPr="009C1EDC" w:rsidRDefault="00B53557" w:rsidP="00B53557">
            <w:pPr>
              <w:ind w:left="16"/>
              <w:rPr>
                <w:rFonts w:ascii="Calibri" w:hAnsi="Calibri"/>
                <w:sz w:val="22"/>
                <w:szCs w:val="22"/>
                <w:lang w:eastAsia="en-US"/>
              </w:rPr>
            </w:pPr>
            <w:r w:rsidRPr="009C1EDC">
              <w:rPr>
                <w:rFonts w:ascii="Calibri" w:hAnsi="Calibri"/>
                <w:b/>
                <w:bCs/>
                <w:sz w:val="22"/>
                <w:szCs w:val="22"/>
                <w:lang w:eastAsia="en-US"/>
              </w:rPr>
              <w:t>DHRP</w:t>
            </w:r>
            <w:r>
              <w:rPr>
                <w:rFonts w:ascii="Calibri" w:hAnsi="Calibri"/>
                <w:b/>
                <w:bCs/>
                <w:sz w:val="22"/>
                <w:szCs w:val="22"/>
                <w:lang w:eastAsia="en-US"/>
              </w:rPr>
              <w:t xml:space="preserve"> </w:t>
            </w:r>
            <w:r w:rsidRPr="009C1EDC">
              <w:rPr>
                <w:rFonts w:ascii="Calibri" w:hAnsi="Calibri"/>
                <w:b/>
                <w:bCs/>
                <w:sz w:val="22"/>
                <w:szCs w:val="22"/>
                <w:lang w:eastAsia="en-US"/>
              </w:rPr>
              <w:t>successfully mobilize</w:t>
            </w:r>
            <w:r>
              <w:rPr>
                <w:rFonts w:ascii="Calibri" w:hAnsi="Calibri"/>
                <w:b/>
                <w:bCs/>
                <w:sz w:val="22"/>
                <w:szCs w:val="22"/>
                <w:lang w:eastAsia="en-US"/>
              </w:rPr>
              <w:t>d</w:t>
            </w:r>
            <w:r w:rsidRPr="009C1EDC">
              <w:rPr>
                <w:rFonts w:ascii="Calibri" w:hAnsi="Calibri"/>
                <w:b/>
                <w:bCs/>
                <w:sz w:val="22"/>
                <w:szCs w:val="22"/>
                <w:lang w:eastAsia="en-US"/>
              </w:rPr>
              <w:t xml:space="preserve"> CSOs in preparation of the reports on:</w:t>
            </w:r>
          </w:p>
          <w:p w14:paraId="0AAF2074" w14:textId="23927711" w:rsidR="00B53557" w:rsidRPr="001B68E2" w:rsidRDefault="00B53557" w:rsidP="008962E4">
            <w:pPr>
              <w:numPr>
                <w:ilvl w:val="0"/>
                <w:numId w:val="21"/>
              </w:numPr>
              <w:textAlignment w:val="center"/>
              <w:rPr>
                <w:rFonts w:asciiTheme="minorHAnsi" w:hAnsiTheme="minorHAnsi" w:cstheme="minorHAnsi"/>
                <w:sz w:val="22"/>
                <w:szCs w:val="22"/>
              </w:rPr>
            </w:pPr>
            <w:r w:rsidRPr="001B68E2">
              <w:rPr>
                <w:rFonts w:asciiTheme="minorHAnsi" w:hAnsiTheme="minorHAnsi" w:cstheme="minorHAnsi"/>
                <w:b/>
                <w:bCs/>
                <w:sz w:val="22"/>
                <w:szCs w:val="22"/>
                <w:lang w:eastAsia="en-US"/>
              </w:rPr>
              <w:t xml:space="preserve">Ukraine’s implementation of the OECD recommendations under the Istanbul Anti-Corruption Action plan - </w:t>
            </w:r>
            <w:r w:rsidRPr="001B68E2">
              <w:rPr>
                <w:rFonts w:asciiTheme="minorHAnsi" w:hAnsiTheme="minorHAnsi" w:cstheme="minorHAnsi"/>
                <w:sz w:val="22"/>
                <w:szCs w:val="22"/>
              </w:rPr>
              <w:t xml:space="preserve">a group of seven anti-corruption CSOs were joined by a team of renowned national independent experts to pick apart every recommendation received by Ukraine in the previous round, present a well-grounded civic </w:t>
            </w:r>
            <w:r w:rsidRPr="001B68E2">
              <w:rPr>
                <w:rFonts w:asciiTheme="minorHAnsi" w:hAnsiTheme="minorHAnsi" w:cstheme="minorHAnsi"/>
                <w:sz w:val="22"/>
                <w:szCs w:val="22"/>
                <w:lang w:eastAsia="en-US"/>
              </w:rPr>
              <w:t>position</w:t>
            </w:r>
            <w:r w:rsidRPr="001B68E2">
              <w:rPr>
                <w:rFonts w:asciiTheme="minorHAnsi" w:hAnsiTheme="minorHAnsi" w:cstheme="minorHAnsi"/>
                <w:sz w:val="22"/>
                <w:szCs w:val="22"/>
              </w:rPr>
              <w:t xml:space="preserve"> on that issue, and finally, deliver a presentation at the assessment event, establishing the position of civil society regarding the status of anti-corruption legislation and institutions as of February 2014.</w:t>
            </w:r>
          </w:p>
          <w:p w14:paraId="68594AE7" w14:textId="6E3A4D0D" w:rsidR="00B53557" w:rsidRPr="001B68E2" w:rsidRDefault="00B53557" w:rsidP="008962E4">
            <w:pPr>
              <w:numPr>
                <w:ilvl w:val="0"/>
                <w:numId w:val="21"/>
              </w:numPr>
              <w:textAlignment w:val="center"/>
              <w:rPr>
                <w:rFonts w:asciiTheme="minorHAnsi" w:hAnsiTheme="minorHAnsi" w:cstheme="minorHAnsi"/>
                <w:sz w:val="22"/>
                <w:szCs w:val="22"/>
                <w:lang w:eastAsia="en-US"/>
              </w:rPr>
            </w:pPr>
            <w:r w:rsidRPr="001B68E2">
              <w:rPr>
                <w:rFonts w:asciiTheme="minorHAnsi" w:hAnsiTheme="minorHAnsi" w:cstheme="minorHAnsi"/>
                <w:b/>
                <w:bCs/>
                <w:sz w:val="22"/>
                <w:szCs w:val="22"/>
                <w:lang w:eastAsia="en-US"/>
              </w:rPr>
              <w:t>Ukraine's implementation of the provisions of the Convention against Torture (CAT)</w:t>
            </w:r>
            <w:r w:rsidRPr="001B68E2">
              <w:rPr>
                <w:rFonts w:asciiTheme="minorHAnsi" w:hAnsiTheme="minorHAnsi" w:cstheme="minorHAnsi"/>
                <w:sz w:val="22"/>
                <w:szCs w:val="22"/>
                <w:lang w:eastAsia="en-US"/>
              </w:rPr>
              <w:t xml:space="preserve"> in 2014 - presented by human rights defenders and the Ombudsperson to the UN Committee against Torture provided an objective picture of</w:t>
            </w:r>
            <w:r w:rsidR="004D6D0A">
              <w:rPr>
                <w:rFonts w:asciiTheme="minorHAnsi" w:hAnsiTheme="minorHAnsi" w:cstheme="minorHAnsi"/>
                <w:sz w:val="22"/>
                <w:szCs w:val="22"/>
                <w:lang w:eastAsia="en-US"/>
              </w:rPr>
              <w:t xml:space="preserve"> the</w:t>
            </w:r>
            <w:r w:rsidRPr="001B68E2">
              <w:rPr>
                <w:rFonts w:asciiTheme="minorHAnsi" w:hAnsiTheme="minorHAnsi" w:cstheme="minorHAnsi"/>
                <w:sz w:val="22"/>
                <w:szCs w:val="22"/>
                <w:lang w:eastAsia="en-US"/>
              </w:rPr>
              <w:t xml:space="preserve"> situation in the country,</w:t>
            </w:r>
            <w:r w:rsidR="004D6D0A">
              <w:rPr>
                <w:rFonts w:asciiTheme="minorHAnsi" w:hAnsiTheme="minorHAnsi" w:cstheme="minorHAnsi"/>
                <w:sz w:val="22"/>
                <w:szCs w:val="22"/>
                <w:lang w:eastAsia="en-US"/>
              </w:rPr>
              <w:t xml:space="preserve"> a</w:t>
            </w:r>
            <w:r w:rsidRPr="001B68E2">
              <w:rPr>
                <w:rFonts w:asciiTheme="minorHAnsi" w:hAnsiTheme="minorHAnsi" w:cstheme="minorHAnsi"/>
                <w:sz w:val="22"/>
                <w:szCs w:val="22"/>
                <w:lang w:eastAsia="en-US"/>
              </w:rPr>
              <w:t xml:space="preserve"> list of questions to the Ukrainian delegation, in particular</w:t>
            </w:r>
            <w:r w:rsidR="004D6D0A">
              <w:rPr>
                <w:rFonts w:asciiTheme="minorHAnsi" w:hAnsiTheme="minorHAnsi" w:cstheme="minorHAnsi"/>
                <w:sz w:val="22"/>
                <w:szCs w:val="22"/>
                <w:lang w:eastAsia="en-US"/>
              </w:rPr>
              <w:t>,</w:t>
            </w:r>
            <w:r w:rsidRPr="001B68E2">
              <w:rPr>
                <w:rFonts w:asciiTheme="minorHAnsi" w:hAnsiTheme="minorHAnsi" w:cstheme="minorHAnsi"/>
                <w:sz w:val="22"/>
                <w:szCs w:val="22"/>
                <w:lang w:eastAsia="en-US"/>
              </w:rPr>
              <w:t xml:space="preserve"> on the investigation of torture cases, access to medical help</w:t>
            </w:r>
            <w:r w:rsidR="004D6D0A">
              <w:rPr>
                <w:rFonts w:asciiTheme="minorHAnsi" w:hAnsiTheme="minorHAnsi" w:cstheme="minorHAnsi"/>
                <w:sz w:val="22"/>
                <w:szCs w:val="22"/>
                <w:lang w:eastAsia="en-US"/>
              </w:rPr>
              <w:t>,</w:t>
            </w:r>
            <w:r w:rsidRPr="001B68E2">
              <w:rPr>
                <w:rFonts w:asciiTheme="minorHAnsi" w:hAnsiTheme="minorHAnsi" w:cstheme="minorHAnsi"/>
                <w:sz w:val="22"/>
                <w:szCs w:val="22"/>
                <w:lang w:eastAsia="en-US"/>
              </w:rPr>
              <w:t xml:space="preserve"> and translators in places of detention, detention of migrant</w:t>
            </w:r>
            <w:r w:rsidR="004D6D0A">
              <w:rPr>
                <w:rFonts w:asciiTheme="minorHAnsi" w:hAnsiTheme="minorHAnsi" w:cstheme="minorHAnsi"/>
                <w:sz w:val="22"/>
                <w:szCs w:val="22"/>
                <w:lang w:eastAsia="en-US"/>
              </w:rPr>
              <w:t>s</w:t>
            </w:r>
            <w:r w:rsidRPr="001B68E2">
              <w:rPr>
                <w:rFonts w:asciiTheme="minorHAnsi" w:hAnsiTheme="minorHAnsi" w:cstheme="minorHAnsi"/>
                <w:sz w:val="22"/>
                <w:szCs w:val="22"/>
                <w:lang w:eastAsia="en-US"/>
              </w:rPr>
              <w:t>, juvenile justice</w:t>
            </w:r>
            <w:r w:rsidR="004D6D0A">
              <w:rPr>
                <w:rFonts w:asciiTheme="minorHAnsi" w:hAnsiTheme="minorHAnsi" w:cstheme="minorHAnsi"/>
                <w:sz w:val="22"/>
                <w:szCs w:val="22"/>
                <w:lang w:eastAsia="en-US"/>
              </w:rPr>
              <w:t>,</w:t>
            </w:r>
            <w:r w:rsidRPr="001B68E2">
              <w:rPr>
                <w:rFonts w:asciiTheme="minorHAnsi" w:hAnsiTheme="minorHAnsi" w:cstheme="minorHAnsi"/>
                <w:sz w:val="22"/>
                <w:szCs w:val="22"/>
                <w:lang w:eastAsia="en-US"/>
              </w:rPr>
              <w:t xml:space="preserve"> and others</w:t>
            </w:r>
          </w:p>
          <w:p w14:paraId="449B7867" w14:textId="4D65B31C"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b/>
                <w:bCs/>
                <w:sz w:val="22"/>
                <w:szCs w:val="22"/>
                <w:lang w:eastAsia="en-US"/>
              </w:rPr>
              <w:t>Ukraine's compliance with the CERD (Convention on the Elimination of All Forms of Racial Discrimination)</w:t>
            </w:r>
            <w:r w:rsidRPr="009C1EDC">
              <w:rPr>
                <w:rFonts w:ascii="Calibri" w:hAnsi="Calibri"/>
                <w:sz w:val="22"/>
                <w:szCs w:val="22"/>
                <w:lang w:eastAsia="en-US"/>
              </w:rPr>
              <w:t xml:space="preserve"> put together by the CSOs and the Office of the Ukrainian Ombudsperson and presented in 2015, highlighted challenges of Roma population</w:t>
            </w:r>
            <w:r w:rsidR="004D6D0A">
              <w:rPr>
                <w:rFonts w:ascii="Calibri" w:hAnsi="Calibri"/>
                <w:sz w:val="22"/>
                <w:szCs w:val="22"/>
                <w:lang w:eastAsia="en-US"/>
              </w:rPr>
              <w:t>s</w:t>
            </w:r>
            <w:r w:rsidRPr="009C1EDC">
              <w:rPr>
                <w:rFonts w:ascii="Calibri" w:hAnsi="Calibri"/>
                <w:sz w:val="22"/>
                <w:szCs w:val="22"/>
                <w:lang w:eastAsia="en-US"/>
              </w:rPr>
              <w:t xml:space="preserve"> in Ukraine, risks of the decentralization reform on minorities' rights</w:t>
            </w:r>
            <w:r w:rsidR="004D6D0A">
              <w:rPr>
                <w:rFonts w:ascii="Calibri" w:hAnsi="Calibri"/>
                <w:sz w:val="22"/>
                <w:szCs w:val="22"/>
                <w:lang w:eastAsia="en-US"/>
              </w:rPr>
              <w:t>,</w:t>
            </w:r>
            <w:r w:rsidRPr="009C1EDC">
              <w:rPr>
                <w:rFonts w:ascii="Calibri" w:hAnsi="Calibri"/>
                <w:sz w:val="22"/>
                <w:szCs w:val="22"/>
                <w:lang w:eastAsia="en-US"/>
              </w:rPr>
              <w:t xml:space="preserve"> and ineffective system</w:t>
            </w:r>
            <w:r w:rsidR="004D6D0A">
              <w:rPr>
                <w:rFonts w:ascii="Calibri" w:hAnsi="Calibri"/>
                <w:sz w:val="22"/>
                <w:szCs w:val="22"/>
                <w:lang w:eastAsia="en-US"/>
              </w:rPr>
              <w:t>s</w:t>
            </w:r>
            <w:r w:rsidRPr="009C1EDC">
              <w:rPr>
                <w:rFonts w:ascii="Calibri" w:hAnsi="Calibri"/>
                <w:sz w:val="22"/>
                <w:szCs w:val="22"/>
                <w:lang w:eastAsia="en-US"/>
              </w:rPr>
              <w:t xml:space="preserve"> of registering and prosecuting hate crimes</w:t>
            </w:r>
          </w:p>
          <w:p w14:paraId="1B66E442" w14:textId="5420E5EE" w:rsidR="00B53557" w:rsidRPr="006F3BD0" w:rsidRDefault="00B53557" w:rsidP="008962E4">
            <w:pPr>
              <w:numPr>
                <w:ilvl w:val="0"/>
                <w:numId w:val="21"/>
              </w:numPr>
              <w:textAlignment w:val="center"/>
              <w:rPr>
                <w:rFonts w:ascii="Calibri" w:hAnsi="Calibri"/>
                <w:sz w:val="22"/>
                <w:szCs w:val="22"/>
                <w:lang w:eastAsia="en-US"/>
              </w:rPr>
            </w:pPr>
            <w:r w:rsidRPr="006F3BD0">
              <w:rPr>
                <w:rFonts w:ascii="Calibri" w:hAnsi="Calibri"/>
                <w:b/>
                <w:bCs/>
                <w:sz w:val="22"/>
                <w:szCs w:val="22"/>
                <w:lang w:eastAsia="en-US"/>
              </w:rPr>
              <w:t>Ukraine's implementation of commitments under the Convention on the Elimination of All Forms of Discrimination against Women (CEDAW).</w:t>
            </w:r>
            <w:r w:rsidRPr="006F3BD0">
              <w:rPr>
                <w:rFonts w:ascii="Calibri" w:hAnsi="Calibri"/>
                <w:sz w:val="22"/>
                <w:szCs w:val="22"/>
                <w:lang w:eastAsia="en-US"/>
              </w:rPr>
              <w:t xml:space="preserve"> DHRP helped up to 45 CSOs come together </w:t>
            </w:r>
            <w:r w:rsidR="004D6D0A">
              <w:rPr>
                <w:rFonts w:ascii="Calibri" w:hAnsi="Calibri"/>
                <w:sz w:val="22"/>
                <w:szCs w:val="22"/>
                <w:lang w:eastAsia="en-US"/>
              </w:rPr>
              <w:t>with</w:t>
            </w:r>
            <w:r w:rsidR="004D6D0A" w:rsidRPr="006F3BD0">
              <w:rPr>
                <w:rFonts w:ascii="Calibri" w:hAnsi="Calibri"/>
                <w:sz w:val="22"/>
                <w:szCs w:val="22"/>
                <w:lang w:eastAsia="en-US"/>
              </w:rPr>
              <w:t xml:space="preserve"> </w:t>
            </w:r>
            <w:r w:rsidRPr="006F3BD0">
              <w:rPr>
                <w:rFonts w:ascii="Calibri" w:hAnsi="Calibri"/>
                <w:sz w:val="22"/>
                <w:szCs w:val="22"/>
                <w:lang w:eastAsia="en-US"/>
              </w:rPr>
              <w:t>a Gender Strategy Platform</w:t>
            </w:r>
            <w:r w:rsidR="004D6D0A">
              <w:rPr>
                <w:rFonts w:ascii="Calibri" w:hAnsi="Calibri"/>
                <w:sz w:val="22"/>
                <w:szCs w:val="22"/>
                <w:lang w:eastAsia="en-US"/>
              </w:rPr>
              <w:t>,</w:t>
            </w:r>
            <w:r w:rsidRPr="006F3BD0">
              <w:rPr>
                <w:rFonts w:ascii="Calibri" w:hAnsi="Calibri"/>
                <w:sz w:val="22"/>
                <w:szCs w:val="22"/>
                <w:lang w:eastAsia="en-US"/>
              </w:rPr>
              <w:t xml:space="preserve"> and prepare an alternative report that highlight</w:t>
            </w:r>
            <w:r w:rsidR="004D6D0A">
              <w:rPr>
                <w:rFonts w:ascii="Calibri" w:hAnsi="Calibri"/>
                <w:sz w:val="22"/>
                <w:szCs w:val="22"/>
                <w:lang w:eastAsia="en-US"/>
              </w:rPr>
              <w:t>ed</w:t>
            </w:r>
            <w:r w:rsidRPr="006F3BD0">
              <w:rPr>
                <w:rFonts w:ascii="Calibri" w:hAnsi="Calibri"/>
                <w:sz w:val="22"/>
                <w:szCs w:val="22"/>
                <w:lang w:eastAsia="en-US"/>
              </w:rPr>
              <w:t xml:space="preserve"> issues unaddressed by the country's 8th periodic report. Also, </w:t>
            </w:r>
            <w:r w:rsidR="004D6D0A">
              <w:rPr>
                <w:rFonts w:ascii="Calibri" w:hAnsi="Calibri"/>
                <w:sz w:val="22"/>
                <w:szCs w:val="22"/>
                <w:lang w:eastAsia="en-US"/>
              </w:rPr>
              <w:t>in collaboration with</w:t>
            </w:r>
            <w:r w:rsidRPr="006F3BD0">
              <w:rPr>
                <w:rFonts w:ascii="Calibri" w:hAnsi="Calibri"/>
                <w:sz w:val="22"/>
                <w:szCs w:val="22"/>
                <w:lang w:eastAsia="en-US"/>
              </w:rPr>
              <w:t xml:space="preserve"> UN Women, </w:t>
            </w:r>
            <w:r>
              <w:rPr>
                <w:rFonts w:ascii="Calibri" w:hAnsi="Calibri"/>
                <w:sz w:val="22"/>
                <w:szCs w:val="22"/>
                <w:lang w:eastAsia="en-US"/>
              </w:rPr>
              <w:t xml:space="preserve">a number of </w:t>
            </w:r>
            <w:r w:rsidRPr="006F3BD0">
              <w:rPr>
                <w:rFonts w:ascii="Calibri" w:hAnsi="Calibri"/>
                <w:sz w:val="22"/>
                <w:szCs w:val="22"/>
                <w:lang w:eastAsia="en-US"/>
              </w:rPr>
              <w:t xml:space="preserve">coordinating meetings with the CSOs </w:t>
            </w:r>
            <w:r>
              <w:rPr>
                <w:rFonts w:ascii="Calibri" w:hAnsi="Calibri"/>
                <w:sz w:val="22"/>
                <w:szCs w:val="22"/>
                <w:lang w:eastAsia="en-US"/>
              </w:rPr>
              <w:t>were held prior to the review of the State report by the CEDAW in Geneva in February 2017</w:t>
            </w:r>
          </w:p>
          <w:p w14:paraId="554F6D79" w14:textId="77777777" w:rsidR="00B53557" w:rsidRPr="009C1EDC" w:rsidRDefault="00B53557" w:rsidP="00B53557">
            <w:pPr>
              <w:ind w:left="540"/>
              <w:rPr>
                <w:rFonts w:ascii="Calibri" w:hAnsi="Calibri"/>
                <w:sz w:val="22"/>
                <w:szCs w:val="22"/>
                <w:lang w:eastAsia="en-US"/>
              </w:rPr>
            </w:pPr>
            <w:r w:rsidRPr="009C1EDC">
              <w:rPr>
                <w:rFonts w:ascii="Calibri" w:hAnsi="Calibri"/>
                <w:sz w:val="22"/>
                <w:szCs w:val="22"/>
                <w:lang w:eastAsia="en-US"/>
              </w:rPr>
              <w:t> </w:t>
            </w:r>
          </w:p>
          <w:p w14:paraId="5077E396" w14:textId="7E18B426" w:rsidR="00B53557" w:rsidRPr="009C1EDC" w:rsidRDefault="00B53557" w:rsidP="00B53557">
            <w:pPr>
              <w:jc w:val="both"/>
              <w:rPr>
                <w:rFonts w:ascii="Calibri" w:hAnsi="Calibri"/>
                <w:sz w:val="22"/>
                <w:szCs w:val="22"/>
                <w:lang w:eastAsia="en-US"/>
              </w:rPr>
            </w:pPr>
            <w:r w:rsidRPr="009C1EDC">
              <w:rPr>
                <w:rFonts w:ascii="Calibri" w:hAnsi="Calibri"/>
                <w:sz w:val="22"/>
                <w:szCs w:val="22"/>
                <w:lang w:eastAsia="en-US"/>
              </w:rPr>
              <w:t xml:space="preserve">In addition, the Programme applied the same approach in </w:t>
            </w:r>
            <w:r w:rsidRPr="009C1EDC">
              <w:rPr>
                <w:rFonts w:ascii="Calibri" w:hAnsi="Calibri"/>
                <w:b/>
                <w:bCs/>
                <w:sz w:val="22"/>
                <w:szCs w:val="22"/>
                <w:lang w:eastAsia="en-US"/>
              </w:rPr>
              <w:t>supporting CSOs in the UPR (Universal Periodic Review) process</w:t>
            </w:r>
            <w:r w:rsidRPr="009C1EDC">
              <w:rPr>
                <w:rFonts w:ascii="Calibri" w:hAnsi="Calibri"/>
                <w:sz w:val="22"/>
                <w:szCs w:val="22"/>
                <w:lang w:eastAsia="en-US"/>
              </w:rPr>
              <w:t xml:space="preserve">. The </w:t>
            </w:r>
            <w:r>
              <w:rPr>
                <w:rFonts w:ascii="Calibri" w:hAnsi="Calibri"/>
                <w:sz w:val="22"/>
                <w:szCs w:val="22"/>
                <w:lang w:eastAsia="en-US"/>
              </w:rPr>
              <w:t>stakeholders’ submission to UPR focus</w:t>
            </w:r>
            <w:r w:rsidR="004D6D0A">
              <w:rPr>
                <w:rFonts w:ascii="Calibri" w:hAnsi="Calibri"/>
                <w:sz w:val="22"/>
                <w:szCs w:val="22"/>
                <w:lang w:eastAsia="en-US"/>
              </w:rPr>
              <w:t>ed</w:t>
            </w:r>
            <w:r>
              <w:rPr>
                <w:rFonts w:ascii="Calibri" w:hAnsi="Calibri"/>
                <w:sz w:val="22"/>
                <w:szCs w:val="22"/>
                <w:lang w:eastAsia="en-US"/>
              </w:rPr>
              <w:t xml:space="preserve"> on conflict-related human rights violations</w:t>
            </w:r>
            <w:r w:rsidR="004D6D0A">
              <w:rPr>
                <w:rFonts w:ascii="Calibri" w:hAnsi="Calibri"/>
                <w:sz w:val="22"/>
                <w:szCs w:val="22"/>
                <w:lang w:eastAsia="en-US"/>
              </w:rPr>
              <w:t>,</w:t>
            </w:r>
            <w:r>
              <w:rPr>
                <w:rFonts w:ascii="Calibri" w:hAnsi="Calibri"/>
                <w:sz w:val="22"/>
                <w:szCs w:val="22"/>
                <w:lang w:eastAsia="en-US"/>
              </w:rPr>
              <w:t xml:space="preserve"> prepared by the Coalition</w:t>
            </w:r>
            <w:r w:rsidR="004D6D0A">
              <w:rPr>
                <w:rFonts w:ascii="Calibri" w:hAnsi="Calibri"/>
                <w:sz w:val="22"/>
                <w:szCs w:val="22"/>
                <w:lang w:eastAsia="en-US"/>
              </w:rPr>
              <w:t>,</w:t>
            </w:r>
            <w:r>
              <w:rPr>
                <w:rFonts w:ascii="Calibri" w:hAnsi="Calibri"/>
                <w:sz w:val="22"/>
                <w:szCs w:val="22"/>
                <w:lang w:eastAsia="en-US"/>
              </w:rPr>
              <w:t xml:space="preserve"> </w:t>
            </w:r>
            <w:r w:rsidRPr="009179C2">
              <w:rPr>
                <w:rFonts w:ascii="Calibri" w:hAnsi="Calibri"/>
                <w:i/>
                <w:sz w:val="22"/>
                <w:szCs w:val="22"/>
                <w:lang w:eastAsia="en-US"/>
              </w:rPr>
              <w:t>Justice for Peace in Donbas</w:t>
            </w:r>
            <w:r w:rsidR="004D6D0A">
              <w:rPr>
                <w:rFonts w:ascii="Calibri" w:hAnsi="Calibri"/>
                <w:sz w:val="22"/>
                <w:szCs w:val="22"/>
                <w:lang w:eastAsia="en-US"/>
              </w:rPr>
              <w:t>,</w:t>
            </w:r>
            <w:r>
              <w:rPr>
                <w:rFonts w:ascii="Calibri" w:hAnsi="Calibri"/>
                <w:sz w:val="22"/>
                <w:szCs w:val="22"/>
                <w:lang w:eastAsia="en-US"/>
              </w:rPr>
              <w:t xml:space="preserve"> </w:t>
            </w:r>
            <w:r w:rsidRPr="009C1EDC">
              <w:rPr>
                <w:rFonts w:ascii="Calibri" w:hAnsi="Calibri"/>
                <w:sz w:val="22"/>
                <w:szCs w:val="22"/>
                <w:lang w:eastAsia="en-US"/>
              </w:rPr>
              <w:t xml:space="preserve">identified </w:t>
            </w:r>
            <w:r w:rsidR="004D6D0A">
              <w:rPr>
                <w:rFonts w:ascii="Calibri" w:hAnsi="Calibri"/>
                <w:sz w:val="22"/>
                <w:szCs w:val="22"/>
                <w:lang w:eastAsia="en-US"/>
              </w:rPr>
              <w:t xml:space="preserve">the following </w:t>
            </w:r>
            <w:r w:rsidRPr="009C1EDC">
              <w:rPr>
                <w:rFonts w:ascii="Calibri" w:hAnsi="Calibri"/>
                <w:sz w:val="22"/>
                <w:szCs w:val="22"/>
                <w:lang w:eastAsia="en-US"/>
              </w:rPr>
              <w:t>through over 280 interviews with the victims:</w:t>
            </w:r>
          </w:p>
          <w:p w14:paraId="2262BFB8" w14:textId="582C0825"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over 90 women victims of sexual violence in the prisons established by illegal military groups</w:t>
            </w:r>
          </w:p>
          <w:p w14:paraId="4161C199" w14:textId="77777777" w:rsidR="00B53557" w:rsidRPr="009C1EDC" w:rsidRDefault="00B53557" w:rsidP="008962E4">
            <w:pPr>
              <w:numPr>
                <w:ilvl w:val="0"/>
                <w:numId w:val="21"/>
              </w:numPr>
              <w:textAlignment w:val="center"/>
              <w:rPr>
                <w:rFonts w:ascii="Calibri" w:hAnsi="Calibri"/>
                <w:sz w:val="22"/>
                <w:szCs w:val="22"/>
                <w:lang w:eastAsia="en-US"/>
              </w:rPr>
            </w:pPr>
            <w:r w:rsidRPr="009C1EDC">
              <w:rPr>
                <w:rFonts w:ascii="Calibri" w:hAnsi="Calibri"/>
                <w:sz w:val="22"/>
                <w:szCs w:val="22"/>
                <w:lang w:eastAsia="en-US"/>
              </w:rPr>
              <w:t>30 cases of recruiting children in the armed conflict in Donbas</w:t>
            </w:r>
          </w:p>
          <w:p w14:paraId="5E4CD68F" w14:textId="60D12E3B" w:rsidR="00B53557" w:rsidRPr="009C1EDC" w:rsidRDefault="00B53557" w:rsidP="008962E4">
            <w:pPr>
              <w:numPr>
                <w:ilvl w:val="0"/>
                <w:numId w:val="21"/>
              </w:numPr>
              <w:textAlignment w:val="center"/>
              <w:rPr>
                <w:rFonts w:ascii="Calibri" w:hAnsi="Calibri"/>
                <w:sz w:val="22"/>
                <w:szCs w:val="22"/>
                <w:lang w:eastAsia="en-US"/>
              </w:rPr>
            </w:pPr>
            <w:r>
              <w:rPr>
                <w:rFonts w:ascii="Calibri" w:hAnsi="Calibri"/>
                <w:sz w:val="22"/>
                <w:szCs w:val="22"/>
                <w:lang w:eastAsia="en-US"/>
              </w:rPr>
              <w:t>a</w:t>
            </w:r>
            <w:r w:rsidRPr="009C1EDC">
              <w:rPr>
                <w:rFonts w:ascii="Calibri" w:hAnsi="Calibri"/>
                <w:sz w:val="22"/>
                <w:szCs w:val="22"/>
                <w:lang w:eastAsia="en-US"/>
              </w:rPr>
              <w:t xml:space="preserve"> total of 1,023 persons are currently considered missing (including 19 children)</w:t>
            </w:r>
          </w:p>
          <w:p w14:paraId="4C708C02" w14:textId="7F79FFE5" w:rsidR="00B53557" w:rsidRDefault="00B53557" w:rsidP="00B53557">
            <w:pPr>
              <w:ind w:left="540"/>
              <w:rPr>
                <w:rFonts w:ascii="Calibri" w:hAnsi="Calibri"/>
                <w:sz w:val="22"/>
                <w:szCs w:val="22"/>
                <w:lang w:eastAsia="en-US"/>
              </w:rPr>
            </w:pPr>
          </w:p>
          <w:p w14:paraId="46570AD2" w14:textId="4084A85F" w:rsidR="00B53557" w:rsidRPr="009C1EDC" w:rsidRDefault="00B53557" w:rsidP="00B53557">
            <w:pPr>
              <w:jc w:val="both"/>
              <w:rPr>
                <w:rFonts w:ascii="Calibri" w:hAnsi="Calibri"/>
                <w:sz w:val="22"/>
                <w:szCs w:val="22"/>
                <w:lang w:eastAsia="en-US"/>
              </w:rPr>
            </w:pPr>
            <w:r>
              <w:rPr>
                <w:rFonts w:ascii="Calibri" w:hAnsi="Calibri"/>
                <w:sz w:val="22"/>
                <w:szCs w:val="22"/>
                <w:lang w:eastAsia="en-US"/>
              </w:rPr>
              <w:t xml:space="preserve">This report was submitted to the </w:t>
            </w:r>
            <w:r w:rsidRPr="009C1EDC">
              <w:rPr>
                <w:rFonts w:ascii="Calibri" w:hAnsi="Calibri"/>
                <w:sz w:val="22"/>
                <w:szCs w:val="22"/>
                <w:lang w:eastAsia="en-US"/>
              </w:rPr>
              <w:t>UN Human Rights Council</w:t>
            </w:r>
            <w:r>
              <w:rPr>
                <w:rFonts w:ascii="Calibri" w:hAnsi="Calibri"/>
                <w:sz w:val="22"/>
                <w:szCs w:val="22"/>
                <w:lang w:eastAsia="en-US"/>
              </w:rPr>
              <w:t xml:space="preserve"> and will be taken into consideration during Ukraine’s review under UPR </w:t>
            </w:r>
            <w:r w:rsidR="002C0BC9">
              <w:rPr>
                <w:rFonts w:ascii="Calibri" w:hAnsi="Calibri"/>
                <w:sz w:val="22"/>
                <w:szCs w:val="22"/>
                <w:lang w:eastAsia="en-US"/>
              </w:rPr>
              <w:t>on</w:t>
            </w:r>
            <w:r w:rsidRPr="009C1EDC">
              <w:rPr>
                <w:rFonts w:ascii="Calibri" w:hAnsi="Calibri"/>
                <w:sz w:val="22"/>
                <w:szCs w:val="22"/>
                <w:lang w:eastAsia="en-US"/>
              </w:rPr>
              <w:t xml:space="preserve"> November 2017. </w:t>
            </w:r>
            <w:r>
              <w:rPr>
                <w:rFonts w:ascii="Calibri" w:hAnsi="Calibri"/>
                <w:sz w:val="22"/>
                <w:szCs w:val="22"/>
                <w:lang w:eastAsia="en-US"/>
              </w:rPr>
              <w:t xml:space="preserve">As the prepared report </w:t>
            </w:r>
            <w:r w:rsidRPr="009C1EDC">
              <w:rPr>
                <w:rFonts w:ascii="Calibri" w:hAnsi="Calibri"/>
                <w:sz w:val="22"/>
                <w:szCs w:val="22"/>
                <w:lang w:eastAsia="en-US"/>
              </w:rPr>
              <w:t xml:space="preserve">includes concrete </w:t>
            </w:r>
            <w:r w:rsidRPr="005F08EE">
              <w:rPr>
                <w:rFonts w:asciiTheme="minorHAnsi" w:hAnsiTheme="minorHAnsi" w:cstheme="minorHAnsi"/>
                <w:sz w:val="22"/>
                <w:szCs w:val="22"/>
              </w:rPr>
              <w:t>recommendations</w:t>
            </w:r>
            <w:r w:rsidRPr="009C1EDC">
              <w:rPr>
                <w:rFonts w:ascii="Calibri" w:hAnsi="Calibri"/>
                <w:sz w:val="22"/>
                <w:szCs w:val="22"/>
                <w:lang w:eastAsia="en-US"/>
              </w:rPr>
              <w:t xml:space="preserve"> to address the</w:t>
            </w:r>
            <w:r>
              <w:rPr>
                <w:rFonts w:ascii="Calibri" w:hAnsi="Calibri"/>
                <w:sz w:val="22"/>
                <w:szCs w:val="22"/>
                <w:lang w:eastAsia="en-US"/>
              </w:rPr>
              <w:t xml:space="preserve"> </w:t>
            </w:r>
            <w:r w:rsidRPr="009C1EDC">
              <w:rPr>
                <w:rFonts w:ascii="Calibri" w:hAnsi="Calibri"/>
                <w:sz w:val="22"/>
                <w:szCs w:val="22"/>
                <w:lang w:eastAsia="en-US"/>
              </w:rPr>
              <w:t>issues</w:t>
            </w:r>
            <w:r>
              <w:rPr>
                <w:rFonts w:ascii="Calibri" w:hAnsi="Calibri"/>
                <w:sz w:val="22"/>
                <w:szCs w:val="22"/>
                <w:lang w:eastAsia="en-US"/>
              </w:rPr>
              <w:t xml:space="preserve">, the Programme </w:t>
            </w:r>
            <w:r w:rsidRPr="009C1EDC">
              <w:rPr>
                <w:rFonts w:ascii="Calibri" w:hAnsi="Calibri"/>
                <w:sz w:val="22"/>
                <w:szCs w:val="22"/>
                <w:lang w:eastAsia="en-US"/>
              </w:rPr>
              <w:t xml:space="preserve">is committed to provide further support to the CSOs who work in these areas to ensure proper actions to be taken by the duty-bearers. </w:t>
            </w:r>
          </w:p>
          <w:p w14:paraId="1446E6B8" w14:textId="77777777" w:rsidR="00B53557" w:rsidRPr="009C1EDC" w:rsidRDefault="00B53557" w:rsidP="00B53557">
            <w:pPr>
              <w:ind w:left="540"/>
              <w:rPr>
                <w:rFonts w:ascii="Calibri" w:hAnsi="Calibri"/>
                <w:sz w:val="26"/>
                <w:lang w:eastAsia="en-US"/>
              </w:rPr>
            </w:pPr>
            <w:r w:rsidRPr="009C1EDC">
              <w:rPr>
                <w:rFonts w:ascii="Calibri" w:hAnsi="Calibri"/>
                <w:sz w:val="26"/>
                <w:lang w:eastAsia="en-US"/>
              </w:rPr>
              <w:t> </w:t>
            </w:r>
          </w:p>
          <w:p w14:paraId="7F0DDECE" w14:textId="6628F344" w:rsidR="00B53557" w:rsidRDefault="00B53557" w:rsidP="00B53557">
            <w:pPr>
              <w:rPr>
                <w:rFonts w:ascii="Calibri" w:hAnsi="Calibri"/>
                <w:b/>
                <w:bCs/>
                <w:sz w:val="26"/>
                <w:lang w:eastAsia="en-US"/>
              </w:rPr>
            </w:pPr>
            <w:r w:rsidRPr="009C1EDC">
              <w:rPr>
                <w:rFonts w:ascii="Calibri" w:hAnsi="Calibri"/>
                <w:b/>
                <w:bCs/>
                <w:sz w:val="26"/>
                <w:lang w:eastAsia="en-US"/>
              </w:rPr>
              <w:t>Addressing New Human Rights Challenges Caused by the Conflict</w:t>
            </w:r>
          </w:p>
          <w:p w14:paraId="4C09573C" w14:textId="1D648957" w:rsidR="00B53557" w:rsidRDefault="00B53557" w:rsidP="00B53557">
            <w:pPr>
              <w:ind w:left="540"/>
              <w:rPr>
                <w:rFonts w:ascii="Calibri" w:hAnsi="Calibri"/>
                <w:b/>
                <w:bCs/>
                <w:sz w:val="26"/>
                <w:lang w:eastAsia="en-US"/>
              </w:rPr>
            </w:pPr>
          </w:p>
          <w:p w14:paraId="34F5A1B4" w14:textId="60953C02" w:rsidR="00B53557" w:rsidRPr="008620D2" w:rsidRDefault="00B53557" w:rsidP="00B53557">
            <w:pPr>
              <w:rPr>
                <w:rFonts w:ascii="Calibri" w:hAnsi="Calibri"/>
                <w:sz w:val="22"/>
                <w:szCs w:val="22"/>
                <w:u w:val="single"/>
                <w:lang w:eastAsia="en-US"/>
              </w:rPr>
            </w:pPr>
            <w:r w:rsidRPr="008620D2">
              <w:rPr>
                <w:rFonts w:ascii="Calibri" w:hAnsi="Calibri"/>
                <w:sz w:val="22"/>
                <w:szCs w:val="22"/>
                <w:u w:val="single"/>
                <w:lang w:eastAsia="en-US"/>
              </w:rPr>
              <w:t>‘’Crimea Human Rights Field Mission (CFM)’’</w:t>
            </w:r>
          </w:p>
          <w:p w14:paraId="44ABA499" w14:textId="07D6543B" w:rsidR="00B53557" w:rsidRPr="008620D2" w:rsidRDefault="00B53557" w:rsidP="00B53557">
            <w:pPr>
              <w:ind w:left="540"/>
              <w:rPr>
                <w:rFonts w:ascii="Calibri" w:hAnsi="Calibri"/>
                <w:sz w:val="22"/>
                <w:szCs w:val="22"/>
                <w:lang w:eastAsia="en-US"/>
              </w:rPr>
            </w:pPr>
          </w:p>
          <w:p w14:paraId="446A1C52" w14:textId="69B2D0E0" w:rsidR="00B53557" w:rsidRPr="008620D2" w:rsidRDefault="00B53557" w:rsidP="00B53557">
            <w:pPr>
              <w:jc w:val="both"/>
              <w:rPr>
                <w:rFonts w:ascii="Calibri" w:hAnsi="Calibri"/>
                <w:sz w:val="22"/>
                <w:szCs w:val="22"/>
                <w:lang w:eastAsia="en-US"/>
              </w:rPr>
            </w:pPr>
            <w:r w:rsidRPr="008620D2">
              <w:rPr>
                <w:rFonts w:ascii="Calibri" w:hAnsi="Calibri"/>
                <w:sz w:val="22"/>
                <w:szCs w:val="22"/>
                <w:lang w:eastAsia="en-US"/>
              </w:rPr>
              <w:t>Following the 2014 annexation of Crimea, DHRP</w:t>
            </w:r>
            <w:r>
              <w:rPr>
                <w:rFonts w:ascii="Calibri" w:hAnsi="Calibri"/>
                <w:sz w:val="22"/>
                <w:szCs w:val="22"/>
                <w:lang w:eastAsia="en-US"/>
              </w:rPr>
              <w:t xml:space="preserve"> </w:t>
            </w:r>
            <w:r w:rsidRPr="008620D2">
              <w:rPr>
                <w:rFonts w:ascii="Calibri" w:hAnsi="Calibri"/>
                <w:sz w:val="22"/>
                <w:szCs w:val="22"/>
                <w:lang w:eastAsia="en-US"/>
              </w:rPr>
              <w:t>responded to the situation by providing support to the Crimean Human Rights Field Monitoring Mission – a coalition of over 15 human rights organizations from Ukraine and Russia, that served as the only source of information on human rights violations on the territory of the annexed peninsula. The coalition was enabled to produce a number of vital reports between 2014 and 2015</w:t>
            </w:r>
            <w:r w:rsidR="008635AF">
              <w:rPr>
                <w:rFonts w:ascii="Calibri" w:hAnsi="Calibri"/>
                <w:sz w:val="22"/>
                <w:szCs w:val="22"/>
                <w:lang w:eastAsia="en-US"/>
              </w:rPr>
              <w:t>,</w:t>
            </w:r>
            <w:r w:rsidRPr="008620D2">
              <w:rPr>
                <w:rFonts w:ascii="Calibri" w:hAnsi="Calibri"/>
                <w:sz w:val="22"/>
                <w:szCs w:val="22"/>
                <w:lang w:eastAsia="en-US"/>
              </w:rPr>
              <w:t xml:space="preserve"> highlighting the systematic issues of disappearances of pro-Ukrainian and Crimean Tartar </w:t>
            </w:r>
            <w:r w:rsidRPr="005F08EE">
              <w:rPr>
                <w:rFonts w:asciiTheme="minorHAnsi" w:hAnsiTheme="minorHAnsi" w:cstheme="minorHAnsi"/>
                <w:sz w:val="22"/>
                <w:szCs w:val="22"/>
              </w:rPr>
              <w:t>activists</w:t>
            </w:r>
            <w:r w:rsidRPr="008620D2">
              <w:rPr>
                <w:rFonts w:ascii="Calibri" w:hAnsi="Calibri"/>
                <w:sz w:val="22"/>
                <w:szCs w:val="22"/>
                <w:lang w:eastAsia="en-US"/>
              </w:rPr>
              <w:t>,</w:t>
            </w:r>
            <w:r w:rsidR="008635AF">
              <w:rPr>
                <w:rFonts w:ascii="Calibri" w:hAnsi="Calibri"/>
                <w:sz w:val="22"/>
                <w:szCs w:val="22"/>
                <w:lang w:eastAsia="en-US"/>
              </w:rPr>
              <w:t xml:space="preserve"> the</w:t>
            </w:r>
            <w:r w:rsidRPr="008620D2">
              <w:rPr>
                <w:rFonts w:ascii="Calibri" w:hAnsi="Calibri"/>
                <w:sz w:val="22"/>
                <w:szCs w:val="22"/>
                <w:lang w:eastAsia="en-US"/>
              </w:rPr>
              <w:t xml:space="preserve"> use of military force and pressure, </w:t>
            </w:r>
            <w:r w:rsidR="008635AF">
              <w:rPr>
                <w:rFonts w:ascii="Calibri" w:hAnsi="Calibri"/>
                <w:sz w:val="22"/>
                <w:szCs w:val="22"/>
                <w:lang w:eastAsia="en-US"/>
              </w:rPr>
              <w:t xml:space="preserve">and </w:t>
            </w:r>
            <w:r w:rsidRPr="008620D2">
              <w:rPr>
                <w:rFonts w:ascii="Calibri" w:hAnsi="Calibri"/>
                <w:sz w:val="22"/>
                <w:szCs w:val="22"/>
                <w:lang w:eastAsia="en-US"/>
              </w:rPr>
              <w:t>violations of freedom of speech, peaceful assemblies, and religious beliefs. The Mission gained enough momentum to lock its sustainability and act independently from UNDP.</w:t>
            </w:r>
          </w:p>
          <w:p w14:paraId="75F61D23" w14:textId="7DC8C9F0" w:rsidR="00B53557" w:rsidRPr="008620D2" w:rsidRDefault="00B53557" w:rsidP="00B53557">
            <w:pPr>
              <w:ind w:left="540"/>
              <w:rPr>
                <w:rFonts w:ascii="Calibri" w:hAnsi="Calibri"/>
                <w:sz w:val="22"/>
                <w:szCs w:val="22"/>
                <w:lang w:eastAsia="en-US"/>
              </w:rPr>
            </w:pPr>
          </w:p>
          <w:p w14:paraId="1AF7F0B4" w14:textId="1ED1032D" w:rsidR="00B53557" w:rsidRPr="008620D2" w:rsidRDefault="00B53557" w:rsidP="00B53557">
            <w:pPr>
              <w:rPr>
                <w:rFonts w:ascii="Calibri" w:hAnsi="Calibri"/>
                <w:sz w:val="22"/>
                <w:szCs w:val="22"/>
                <w:u w:val="single"/>
                <w:lang w:eastAsia="en-US"/>
              </w:rPr>
            </w:pPr>
            <w:r w:rsidRPr="008620D2">
              <w:rPr>
                <w:rFonts w:ascii="Calibri" w:hAnsi="Calibri"/>
                <w:sz w:val="22"/>
                <w:szCs w:val="22"/>
                <w:u w:val="single"/>
                <w:lang w:eastAsia="en-US"/>
              </w:rPr>
              <w:t>‘’Justice for Peace in Donbas Coalition (JFP)’’</w:t>
            </w:r>
          </w:p>
          <w:p w14:paraId="52298D5B" w14:textId="77777777" w:rsidR="00B53557" w:rsidRPr="009C1EDC" w:rsidRDefault="00B53557" w:rsidP="00B53557">
            <w:pPr>
              <w:ind w:left="540"/>
              <w:rPr>
                <w:rFonts w:ascii="Calibri" w:hAnsi="Calibri"/>
                <w:sz w:val="22"/>
                <w:szCs w:val="22"/>
                <w:lang w:eastAsia="en-US"/>
              </w:rPr>
            </w:pPr>
            <w:r w:rsidRPr="009C1EDC">
              <w:rPr>
                <w:rFonts w:ascii="Calibri" w:hAnsi="Calibri"/>
                <w:sz w:val="22"/>
                <w:szCs w:val="22"/>
                <w:lang w:eastAsia="en-US"/>
              </w:rPr>
              <w:t> </w:t>
            </w:r>
          </w:p>
          <w:p w14:paraId="0ED1CE25" w14:textId="1FF8CE5D" w:rsidR="00B53557" w:rsidRPr="00740917" w:rsidRDefault="00B53557" w:rsidP="00B53557">
            <w:pPr>
              <w:jc w:val="both"/>
              <w:rPr>
                <w:rFonts w:ascii="Calibri" w:hAnsi="Calibri"/>
                <w:sz w:val="22"/>
                <w:szCs w:val="22"/>
                <w:lang w:eastAsia="en-US"/>
              </w:rPr>
            </w:pPr>
            <w:r>
              <w:rPr>
                <w:rFonts w:ascii="Calibri" w:hAnsi="Calibri"/>
                <w:sz w:val="22"/>
                <w:szCs w:val="22"/>
                <w:lang w:eastAsia="en-US"/>
              </w:rPr>
              <w:t xml:space="preserve">In 2014, the </w:t>
            </w:r>
            <w:r w:rsidRPr="009C1EDC">
              <w:rPr>
                <w:rFonts w:ascii="Calibri" w:hAnsi="Calibri"/>
                <w:sz w:val="22"/>
                <w:szCs w:val="22"/>
                <w:lang w:eastAsia="en-US"/>
              </w:rPr>
              <w:t xml:space="preserve">Programme </w:t>
            </w:r>
            <w:r>
              <w:rPr>
                <w:rFonts w:ascii="Calibri" w:hAnsi="Calibri"/>
                <w:sz w:val="22"/>
                <w:szCs w:val="22"/>
                <w:lang w:eastAsia="en-US"/>
              </w:rPr>
              <w:t xml:space="preserve">with other partners </w:t>
            </w:r>
            <w:r w:rsidRPr="009C1EDC">
              <w:rPr>
                <w:rFonts w:ascii="Calibri" w:hAnsi="Calibri"/>
                <w:sz w:val="22"/>
                <w:szCs w:val="22"/>
                <w:lang w:eastAsia="en-US"/>
              </w:rPr>
              <w:t xml:space="preserve">supported 17 Ukrainian human rights organizations </w:t>
            </w:r>
            <w:r>
              <w:rPr>
                <w:rFonts w:ascii="Calibri" w:hAnsi="Calibri"/>
                <w:sz w:val="22"/>
                <w:szCs w:val="22"/>
                <w:lang w:eastAsia="en-US"/>
              </w:rPr>
              <w:t xml:space="preserve">to join forces as </w:t>
            </w:r>
            <w:r w:rsidRPr="009C1EDC">
              <w:rPr>
                <w:rFonts w:ascii="Calibri" w:hAnsi="Calibri"/>
                <w:sz w:val="22"/>
                <w:szCs w:val="22"/>
                <w:lang w:eastAsia="en-US"/>
              </w:rPr>
              <w:t xml:space="preserve">the </w:t>
            </w:r>
            <w:r w:rsidRPr="009C1EDC">
              <w:rPr>
                <w:rFonts w:ascii="Calibri" w:hAnsi="Calibri"/>
                <w:i/>
                <w:iCs/>
                <w:sz w:val="22"/>
                <w:szCs w:val="22"/>
                <w:lang w:eastAsia="en-US"/>
              </w:rPr>
              <w:t>Justice for Peace in Donbas Coalition</w:t>
            </w:r>
            <w:r>
              <w:rPr>
                <w:rFonts w:ascii="Calibri" w:hAnsi="Calibri"/>
                <w:i/>
                <w:iCs/>
                <w:sz w:val="22"/>
                <w:szCs w:val="22"/>
                <w:lang w:eastAsia="en-US"/>
              </w:rPr>
              <w:t xml:space="preserve"> </w:t>
            </w:r>
            <w:r w:rsidRPr="00740917">
              <w:rPr>
                <w:rFonts w:ascii="Calibri" w:hAnsi="Calibri"/>
                <w:sz w:val="22"/>
                <w:szCs w:val="22"/>
                <w:lang w:eastAsia="en-US"/>
              </w:rPr>
              <w:t xml:space="preserve">for documenting the violations of human rights and international </w:t>
            </w:r>
            <w:r w:rsidRPr="005F08EE">
              <w:rPr>
                <w:rFonts w:asciiTheme="minorHAnsi" w:hAnsiTheme="minorHAnsi" w:cstheme="minorHAnsi"/>
                <w:sz w:val="22"/>
                <w:szCs w:val="22"/>
              </w:rPr>
              <w:t>humanitarian</w:t>
            </w:r>
            <w:r w:rsidRPr="00740917">
              <w:rPr>
                <w:rFonts w:ascii="Calibri" w:hAnsi="Calibri"/>
                <w:sz w:val="22"/>
                <w:szCs w:val="22"/>
                <w:lang w:eastAsia="en-US"/>
              </w:rPr>
              <w:t xml:space="preserve"> law in Donbas during the armed confrontation.</w:t>
            </w:r>
          </w:p>
          <w:p w14:paraId="21DE130C" w14:textId="77777777" w:rsidR="00B53557" w:rsidRPr="00740917" w:rsidRDefault="00B53557" w:rsidP="00B53557">
            <w:pPr>
              <w:ind w:left="540"/>
              <w:rPr>
                <w:rFonts w:ascii="Calibri" w:hAnsi="Calibri"/>
                <w:sz w:val="22"/>
                <w:szCs w:val="22"/>
                <w:lang w:eastAsia="en-US"/>
              </w:rPr>
            </w:pPr>
          </w:p>
          <w:p w14:paraId="5F8D7046" w14:textId="654334CC" w:rsidR="00B53557" w:rsidRPr="00740917" w:rsidRDefault="00B53557" w:rsidP="00B53557">
            <w:pPr>
              <w:jc w:val="both"/>
              <w:rPr>
                <w:rFonts w:ascii="Calibri" w:hAnsi="Calibri"/>
                <w:sz w:val="22"/>
                <w:szCs w:val="22"/>
                <w:lang w:eastAsia="en-US"/>
              </w:rPr>
            </w:pPr>
            <w:r w:rsidRPr="00740917">
              <w:rPr>
                <w:rFonts w:ascii="Calibri" w:hAnsi="Calibri"/>
                <w:sz w:val="22"/>
                <w:szCs w:val="22"/>
                <w:lang w:eastAsia="en-US"/>
              </w:rPr>
              <w:t xml:space="preserve">In order to ensure the documentation of human rights violations, the Coalition uses </w:t>
            </w:r>
            <w:r w:rsidR="009179C2">
              <w:rPr>
                <w:rFonts w:ascii="Calibri" w:hAnsi="Calibri"/>
                <w:sz w:val="22"/>
                <w:szCs w:val="22"/>
                <w:lang w:eastAsia="en-US"/>
              </w:rPr>
              <w:t>a</w:t>
            </w:r>
            <w:r w:rsidR="009179C2" w:rsidRPr="00740917">
              <w:rPr>
                <w:rFonts w:ascii="Calibri" w:hAnsi="Calibri"/>
                <w:sz w:val="22"/>
                <w:szCs w:val="22"/>
                <w:lang w:eastAsia="en-US"/>
              </w:rPr>
              <w:t xml:space="preserve"> </w:t>
            </w:r>
            <w:r w:rsidRPr="00740917">
              <w:rPr>
                <w:rFonts w:ascii="Calibri" w:hAnsi="Calibri"/>
                <w:sz w:val="22"/>
                <w:szCs w:val="22"/>
                <w:lang w:eastAsia="en-US"/>
              </w:rPr>
              <w:t>professional data storage and tracking software, which was purchased and installed with UNDP</w:t>
            </w:r>
            <w:r w:rsidR="009179C2">
              <w:rPr>
                <w:rFonts w:ascii="Calibri" w:hAnsi="Calibri"/>
                <w:sz w:val="22"/>
                <w:szCs w:val="22"/>
                <w:lang w:eastAsia="en-US"/>
              </w:rPr>
              <w:t>,</w:t>
            </w:r>
            <w:r w:rsidRPr="00740917">
              <w:rPr>
                <w:rFonts w:ascii="Calibri" w:hAnsi="Calibri"/>
                <w:sz w:val="22"/>
                <w:szCs w:val="22"/>
                <w:lang w:eastAsia="en-US"/>
              </w:rPr>
              <w:t xml:space="preserve"> and other partners</w:t>
            </w:r>
            <w:r w:rsidR="009179C2">
              <w:rPr>
                <w:rFonts w:ascii="Calibri" w:hAnsi="Calibri"/>
                <w:sz w:val="22"/>
                <w:szCs w:val="22"/>
                <w:lang w:eastAsia="en-US"/>
              </w:rPr>
              <w:t>’</w:t>
            </w:r>
            <w:r w:rsidRPr="00740917">
              <w:rPr>
                <w:rFonts w:ascii="Calibri" w:hAnsi="Calibri"/>
                <w:sz w:val="22"/>
                <w:szCs w:val="22"/>
                <w:lang w:eastAsia="en-US"/>
              </w:rPr>
              <w:t xml:space="preserve"> support. The database is operational with over 200 cases of human rights violations, and is used to seek humanitarian law </w:t>
            </w:r>
            <w:r w:rsidRPr="005F08EE">
              <w:rPr>
                <w:rFonts w:asciiTheme="minorHAnsi" w:hAnsiTheme="minorHAnsi" w:cstheme="minorHAnsi"/>
                <w:sz w:val="22"/>
                <w:szCs w:val="22"/>
              </w:rPr>
              <w:t>remedies</w:t>
            </w:r>
            <w:r w:rsidRPr="00740917">
              <w:rPr>
                <w:rFonts w:ascii="Calibri" w:hAnsi="Calibri"/>
                <w:sz w:val="22"/>
                <w:szCs w:val="22"/>
                <w:lang w:eastAsia="en-US"/>
              </w:rPr>
              <w:t xml:space="preserve"> and redress (e.g., ECHR, IHL, domestic criminal and civil law cases) for victims</w:t>
            </w:r>
            <w:r w:rsidR="009179C2">
              <w:rPr>
                <w:rFonts w:ascii="Calibri" w:hAnsi="Calibri"/>
                <w:sz w:val="22"/>
                <w:szCs w:val="22"/>
                <w:lang w:eastAsia="en-US"/>
              </w:rPr>
              <w:t>.</w:t>
            </w:r>
            <w:r w:rsidRPr="00740917">
              <w:rPr>
                <w:rFonts w:ascii="Calibri" w:hAnsi="Calibri"/>
                <w:sz w:val="22"/>
                <w:szCs w:val="22"/>
                <w:lang w:eastAsia="en-US"/>
              </w:rPr>
              <w:t xml:space="preserve"> </w:t>
            </w:r>
            <w:r w:rsidR="009179C2">
              <w:rPr>
                <w:rFonts w:ascii="Calibri" w:hAnsi="Calibri"/>
                <w:sz w:val="22"/>
                <w:szCs w:val="22"/>
                <w:lang w:eastAsia="en-US"/>
              </w:rPr>
              <w:t>M</w:t>
            </w:r>
            <w:r w:rsidRPr="00740917">
              <w:rPr>
                <w:rFonts w:ascii="Calibri" w:hAnsi="Calibri"/>
                <w:sz w:val="22"/>
                <w:szCs w:val="22"/>
                <w:lang w:eastAsia="en-US"/>
              </w:rPr>
              <w:t xml:space="preserve">any of </w:t>
            </w:r>
            <w:r w:rsidR="009179C2">
              <w:rPr>
                <w:rFonts w:ascii="Calibri" w:hAnsi="Calibri"/>
                <w:sz w:val="22"/>
                <w:szCs w:val="22"/>
                <w:lang w:eastAsia="en-US"/>
              </w:rPr>
              <w:t xml:space="preserve">the victims </w:t>
            </w:r>
            <w:r w:rsidRPr="00740917">
              <w:rPr>
                <w:rFonts w:ascii="Calibri" w:hAnsi="Calibri"/>
                <w:sz w:val="22"/>
                <w:szCs w:val="22"/>
                <w:lang w:eastAsia="en-US"/>
              </w:rPr>
              <w:t>are IDPs and other vulnerable members of communities in Donbas.</w:t>
            </w:r>
          </w:p>
          <w:p w14:paraId="0897FF14" w14:textId="77777777" w:rsidR="00B53557" w:rsidRPr="00740917" w:rsidRDefault="00B53557" w:rsidP="00B53557">
            <w:pPr>
              <w:ind w:left="540"/>
              <w:rPr>
                <w:rFonts w:ascii="Calibri" w:hAnsi="Calibri"/>
                <w:sz w:val="22"/>
                <w:szCs w:val="22"/>
                <w:lang w:eastAsia="en-US"/>
              </w:rPr>
            </w:pPr>
          </w:p>
          <w:p w14:paraId="4A215A63" w14:textId="27140EA7" w:rsidR="00B53557" w:rsidRPr="00740917" w:rsidRDefault="00B53557" w:rsidP="00B53557">
            <w:pPr>
              <w:jc w:val="both"/>
              <w:rPr>
                <w:rFonts w:ascii="Calibri" w:hAnsi="Calibri"/>
                <w:sz w:val="22"/>
                <w:szCs w:val="22"/>
                <w:lang w:eastAsia="en-US"/>
              </w:rPr>
            </w:pPr>
            <w:r w:rsidRPr="00740917">
              <w:rPr>
                <w:rFonts w:ascii="Calibri" w:hAnsi="Calibri"/>
                <w:sz w:val="22"/>
                <w:szCs w:val="22"/>
                <w:lang w:eastAsia="en-US"/>
              </w:rPr>
              <w:t xml:space="preserve">Based on the </w:t>
            </w:r>
            <w:r w:rsidRPr="005F08EE">
              <w:rPr>
                <w:rFonts w:asciiTheme="minorHAnsi" w:hAnsiTheme="minorHAnsi" w:cstheme="minorHAnsi"/>
                <w:sz w:val="22"/>
                <w:szCs w:val="22"/>
              </w:rPr>
              <w:t>documented</w:t>
            </w:r>
            <w:r w:rsidRPr="00740917">
              <w:rPr>
                <w:rFonts w:ascii="Calibri" w:hAnsi="Calibri"/>
                <w:sz w:val="22"/>
                <w:szCs w:val="22"/>
                <w:lang w:eastAsia="en-US"/>
              </w:rPr>
              <w:t xml:space="preserve"> data, the Coalition develops joint analytical </w:t>
            </w:r>
            <w:hyperlink r:id="rId24" w:history="1">
              <w:r w:rsidRPr="00740917">
                <w:rPr>
                  <w:rStyle w:val="Hyperlink"/>
                  <w:rFonts w:ascii="Calibri" w:hAnsi="Calibri"/>
                  <w:sz w:val="22"/>
                  <w:szCs w:val="22"/>
                  <w:lang w:eastAsia="en-US"/>
                </w:rPr>
                <w:t>reports</w:t>
              </w:r>
            </w:hyperlink>
            <w:r w:rsidRPr="00740917">
              <w:rPr>
                <w:rFonts w:ascii="Calibri" w:hAnsi="Calibri"/>
                <w:sz w:val="22"/>
                <w:szCs w:val="22"/>
                <w:lang w:eastAsia="en-US"/>
              </w:rPr>
              <w:t xml:space="preserve"> to advocate for better human rights related policies of those who suffered from the conflict. </w:t>
            </w:r>
          </w:p>
          <w:p w14:paraId="7C9563AC" w14:textId="77777777" w:rsidR="00B53557" w:rsidRPr="00740917" w:rsidRDefault="00B53557" w:rsidP="00B53557">
            <w:pPr>
              <w:ind w:left="540"/>
              <w:rPr>
                <w:rFonts w:ascii="Calibri" w:hAnsi="Calibri"/>
                <w:sz w:val="22"/>
                <w:szCs w:val="22"/>
                <w:lang w:eastAsia="en-US"/>
              </w:rPr>
            </w:pPr>
          </w:p>
          <w:p w14:paraId="1F20B41A" w14:textId="396C05E9" w:rsidR="00B53557" w:rsidRPr="00B45F28" w:rsidRDefault="00B53557" w:rsidP="00B45F28">
            <w:pPr>
              <w:shd w:val="clear" w:color="auto" w:fill="FFFFFF" w:themeFill="background1"/>
              <w:jc w:val="both"/>
              <w:rPr>
                <w:rFonts w:ascii="Calibri" w:hAnsi="Calibri"/>
                <w:sz w:val="22"/>
                <w:szCs w:val="22"/>
                <w:lang w:eastAsia="en-US"/>
              </w:rPr>
            </w:pPr>
            <w:r w:rsidRPr="00B45F28">
              <w:rPr>
                <w:rFonts w:ascii="Calibri" w:hAnsi="Calibri"/>
                <w:sz w:val="22"/>
                <w:szCs w:val="22"/>
                <w:lang w:eastAsia="en-US"/>
              </w:rPr>
              <w:t xml:space="preserve">The project </w:t>
            </w:r>
            <w:r w:rsidRPr="00B45F28">
              <w:rPr>
                <w:rFonts w:asciiTheme="minorHAnsi" w:hAnsiTheme="minorHAnsi" w:cstheme="minorHAnsi"/>
                <w:sz w:val="22"/>
                <w:szCs w:val="22"/>
              </w:rPr>
              <w:t>regularly</w:t>
            </w:r>
            <w:r w:rsidRPr="00B45F28">
              <w:rPr>
                <w:rFonts w:ascii="Calibri" w:hAnsi="Calibri"/>
                <w:sz w:val="22"/>
                <w:szCs w:val="22"/>
                <w:lang w:eastAsia="en-US"/>
              </w:rPr>
              <w:t xml:space="preserve"> supported the Coalition in the following ways:</w:t>
            </w:r>
          </w:p>
          <w:p w14:paraId="44AA0D55" w14:textId="05F770B2" w:rsidR="00B53557" w:rsidRPr="00B45F28" w:rsidRDefault="00B53557" w:rsidP="00B45F28">
            <w:pPr>
              <w:numPr>
                <w:ilvl w:val="0"/>
                <w:numId w:val="21"/>
              </w:numPr>
              <w:shd w:val="clear" w:color="auto" w:fill="FFFFFF" w:themeFill="background1"/>
              <w:textAlignment w:val="center"/>
              <w:rPr>
                <w:rFonts w:ascii="Calibri" w:hAnsi="Calibri"/>
                <w:sz w:val="22"/>
                <w:szCs w:val="22"/>
                <w:lang w:eastAsia="en-US"/>
              </w:rPr>
            </w:pPr>
            <w:r w:rsidRPr="00B45F28">
              <w:rPr>
                <w:rFonts w:ascii="Calibri" w:hAnsi="Calibri"/>
                <w:i/>
                <w:iCs/>
                <w:sz w:val="22"/>
                <w:szCs w:val="22"/>
                <w:lang w:eastAsia="en-US"/>
              </w:rPr>
              <w:t>Strategic planning:</w:t>
            </w:r>
            <w:r w:rsidRPr="00B45F28">
              <w:rPr>
                <w:rFonts w:ascii="Calibri" w:hAnsi="Calibri"/>
                <w:sz w:val="22"/>
                <w:szCs w:val="22"/>
                <w:lang w:eastAsia="en-US"/>
              </w:rPr>
              <w:t xml:space="preserve"> the Coalition outlines clear goals and actions for 2015-2017 with the help of DHRP</w:t>
            </w:r>
          </w:p>
          <w:p w14:paraId="4ACE3F15" w14:textId="59E3ADB6" w:rsidR="00B53557" w:rsidRPr="00B45F28" w:rsidRDefault="00B53557" w:rsidP="00B45F28">
            <w:pPr>
              <w:numPr>
                <w:ilvl w:val="0"/>
                <w:numId w:val="21"/>
              </w:numPr>
              <w:shd w:val="clear" w:color="auto" w:fill="FFFFFF" w:themeFill="background1"/>
              <w:textAlignment w:val="center"/>
              <w:rPr>
                <w:rFonts w:ascii="Calibri" w:hAnsi="Calibri"/>
                <w:sz w:val="22"/>
                <w:szCs w:val="22"/>
                <w:lang w:eastAsia="en-US"/>
              </w:rPr>
            </w:pPr>
            <w:r w:rsidRPr="00B45F28">
              <w:rPr>
                <w:rFonts w:ascii="Calibri" w:hAnsi="Calibri"/>
                <w:i/>
                <w:iCs/>
                <w:sz w:val="22"/>
                <w:szCs w:val="22"/>
                <w:lang w:eastAsia="en-US"/>
              </w:rPr>
              <w:t>Capacity-building</w:t>
            </w:r>
            <w:r w:rsidR="009C78C1" w:rsidRPr="00B45F28">
              <w:rPr>
                <w:rFonts w:ascii="Calibri" w:hAnsi="Calibri"/>
                <w:i/>
                <w:iCs/>
                <w:sz w:val="22"/>
                <w:szCs w:val="22"/>
                <w:lang w:eastAsia="en-US"/>
              </w:rPr>
              <w:t>:</w:t>
            </w:r>
            <w:r w:rsidRPr="00B45F28">
              <w:rPr>
                <w:rFonts w:ascii="Calibri" w:hAnsi="Calibri"/>
                <w:sz w:val="22"/>
                <w:szCs w:val="22"/>
                <w:lang w:eastAsia="en-US"/>
              </w:rPr>
              <w:t xml:space="preserve"> on the issues of joint management of the database, learning from international best human rights practices through exchange visits to Serbia and Croatia, documenting gender-based violence and military use of children</w:t>
            </w:r>
            <w:r w:rsidR="009C78C1" w:rsidRPr="00B45F28">
              <w:rPr>
                <w:rFonts w:ascii="Calibri" w:hAnsi="Calibri"/>
                <w:sz w:val="22"/>
                <w:szCs w:val="22"/>
                <w:lang w:eastAsia="en-US"/>
              </w:rPr>
              <w:t>. The coalition</w:t>
            </w:r>
            <w:r w:rsidRPr="00B45F28">
              <w:rPr>
                <w:rFonts w:ascii="Calibri" w:hAnsi="Calibri"/>
                <w:sz w:val="22"/>
                <w:szCs w:val="22"/>
                <w:lang w:eastAsia="en-US"/>
              </w:rPr>
              <w:t xml:space="preserve"> learned how to use documentation as a tool to restore peace. </w:t>
            </w:r>
          </w:p>
          <w:p w14:paraId="080CB8ED" w14:textId="2F486D37" w:rsidR="00B53557" w:rsidRPr="00B45F28" w:rsidRDefault="00B53557" w:rsidP="00B45F28">
            <w:pPr>
              <w:numPr>
                <w:ilvl w:val="0"/>
                <w:numId w:val="21"/>
              </w:numPr>
              <w:shd w:val="clear" w:color="auto" w:fill="FFFFFF" w:themeFill="background1"/>
              <w:textAlignment w:val="center"/>
              <w:rPr>
                <w:rFonts w:ascii="Calibri" w:hAnsi="Calibri"/>
                <w:sz w:val="22"/>
                <w:szCs w:val="22"/>
                <w:lang w:eastAsia="en-US"/>
              </w:rPr>
            </w:pPr>
            <w:r w:rsidRPr="00B45F28">
              <w:rPr>
                <w:rFonts w:ascii="Calibri" w:hAnsi="Calibri"/>
                <w:i/>
                <w:iCs/>
                <w:sz w:val="22"/>
                <w:szCs w:val="22"/>
                <w:lang w:eastAsia="en-US"/>
              </w:rPr>
              <w:t>Communication and outreach</w:t>
            </w:r>
            <w:r w:rsidRPr="00B45F28">
              <w:rPr>
                <w:rFonts w:ascii="Calibri" w:hAnsi="Calibri"/>
                <w:sz w:val="22"/>
                <w:szCs w:val="22"/>
                <w:lang w:eastAsia="en-US"/>
              </w:rPr>
              <w:t>: the website of the Coalition uses DHRP-funded database</w:t>
            </w:r>
            <w:r w:rsidR="009C78C1" w:rsidRPr="00B45F28">
              <w:rPr>
                <w:rFonts w:ascii="Calibri" w:hAnsi="Calibri"/>
                <w:sz w:val="22"/>
                <w:szCs w:val="22"/>
                <w:lang w:eastAsia="en-US"/>
              </w:rPr>
              <w:t>s</w:t>
            </w:r>
            <w:r w:rsidRPr="00B45F28">
              <w:rPr>
                <w:rFonts w:ascii="Calibri" w:hAnsi="Calibri"/>
                <w:sz w:val="22"/>
                <w:szCs w:val="22"/>
                <w:lang w:eastAsia="en-US"/>
              </w:rPr>
              <w:t xml:space="preserve"> for storing evidence on human rights crimes in </w:t>
            </w:r>
            <w:r w:rsidR="009C78C1" w:rsidRPr="00B45F28">
              <w:rPr>
                <w:rFonts w:ascii="Calibri" w:hAnsi="Calibri"/>
                <w:sz w:val="22"/>
                <w:szCs w:val="22"/>
                <w:lang w:eastAsia="en-US"/>
              </w:rPr>
              <w:t>e</w:t>
            </w:r>
            <w:r w:rsidRPr="00B45F28">
              <w:rPr>
                <w:rFonts w:ascii="Calibri" w:hAnsi="Calibri"/>
                <w:sz w:val="22"/>
                <w:szCs w:val="22"/>
                <w:lang w:eastAsia="en-US"/>
              </w:rPr>
              <w:t>ast</w:t>
            </w:r>
            <w:r w:rsidR="009C78C1" w:rsidRPr="00B45F28">
              <w:rPr>
                <w:rFonts w:ascii="Calibri" w:hAnsi="Calibri"/>
                <w:sz w:val="22"/>
                <w:szCs w:val="22"/>
                <w:lang w:eastAsia="en-US"/>
              </w:rPr>
              <w:t>ern</w:t>
            </w:r>
            <w:r w:rsidRPr="00B45F28">
              <w:rPr>
                <w:rFonts w:ascii="Calibri" w:hAnsi="Calibri"/>
                <w:sz w:val="22"/>
                <w:szCs w:val="22"/>
                <w:lang w:eastAsia="en-US"/>
              </w:rPr>
              <w:t xml:space="preserve"> of Ukraine to present an interactive map of human rights violations to the general public. Over 15,000 </w:t>
            </w:r>
            <w:r w:rsidR="009C78C1" w:rsidRPr="00B45F28">
              <w:rPr>
                <w:rFonts w:ascii="Calibri" w:hAnsi="Calibri"/>
                <w:sz w:val="22"/>
                <w:szCs w:val="22"/>
                <w:lang w:eastAsia="en-US"/>
              </w:rPr>
              <w:t xml:space="preserve">individuals </w:t>
            </w:r>
            <w:r w:rsidRPr="00B45F28">
              <w:rPr>
                <w:rFonts w:ascii="Calibri" w:hAnsi="Calibri"/>
                <w:sz w:val="22"/>
                <w:szCs w:val="22"/>
                <w:lang w:eastAsia="en-US"/>
              </w:rPr>
              <w:t>accessed the information on the website. In total</w:t>
            </w:r>
            <w:r w:rsidR="009C78C1" w:rsidRPr="00B45F28">
              <w:rPr>
                <w:rFonts w:ascii="Calibri" w:hAnsi="Calibri"/>
                <w:sz w:val="22"/>
                <w:szCs w:val="22"/>
                <w:lang w:eastAsia="en-US"/>
              </w:rPr>
              <w:t>,</w:t>
            </w:r>
            <w:r w:rsidRPr="00B45F28">
              <w:rPr>
                <w:rFonts w:ascii="Calibri" w:hAnsi="Calibri"/>
                <w:sz w:val="22"/>
                <w:szCs w:val="22"/>
                <w:lang w:eastAsia="en-US"/>
              </w:rPr>
              <w:t xml:space="preserve"> 11 thematic reports </w:t>
            </w:r>
            <w:r w:rsidR="009C78C1" w:rsidRPr="00B45F28">
              <w:rPr>
                <w:rFonts w:ascii="Calibri" w:hAnsi="Calibri"/>
                <w:sz w:val="22"/>
                <w:szCs w:val="22"/>
                <w:lang w:eastAsia="en-US"/>
              </w:rPr>
              <w:t>have been</w:t>
            </w:r>
            <w:r w:rsidRPr="00B45F28">
              <w:rPr>
                <w:rFonts w:ascii="Calibri" w:hAnsi="Calibri"/>
                <w:sz w:val="22"/>
                <w:szCs w:val="22"/>
                <w:lang w:eastAsia="en-US"/>
              </w:rPr>
              <w:t xml:space="preserve"> produced by the Coalition and its members, and used </w:t>
            </w:r>
            <w:r w:rsidR="001528B4" w:rsidRPr="00B45F28">
              <w:rPr>
                <w:rFonts w:ascii="Calibri" w:hAnsi="Calibri"/>
                <w:sz w:val="22"/>
                <w:szCs w:val="22"/>
                <w:lang w:eastAsia="en-US"/>
              </w:rPr>
              <w:t>to advocate</w:t>
            </w:r>
            <w:r w:rsidRPr="00B45F28">
              <w:rPr>
                <w:rFonts w:ascii="Calibri" w:hAnsi="Calibri"/>
                <w:sz w:val="22"/>
                <w:szCs w:val="22"/>
                <w:lang w:eastAsia="en-US"/>
              </w:rPr>
              <w:t xml:space="preserve"> </w:t>
            </w:r>
            <w:r w:rsidR="009C78C1" w:rsidRPr="00B45F28">
              <w:rPr>
                <w:rFonts w:ascii="Calibri" w:hAnsi="Calibri"/>
                <w:sz w:val="22"/>
                <w:szCs w:val="22"/>
                <w:lang w:eastAsia="en-US"/>
              </w:rPr>
              <w:t xml:space="preserve">the </w:t>
            </w:r>
            <w:r w:rsidRPr="00B45F28">
              <w:rPr>
                <w:rFonts w:ascii="Calibri" w:hAnsi="Calibri"/>
                <w:sz w:val="22"/>
                <w:szCs w:val="22"/>
                <w:lang w:eastAsia="en-US"/>
              </w:rPr>
              <w:t>promotion of</w:t>
            </w:r>
            <w:r w:rsidR="009C78C1" w:rsidRPr="00B45F28">
              <w:rPr>
                <w:rFonts w:ascii="Calibri" w:hAnsi="Calibri"/>
                <w:sz w:val="22"/>
                <w:szCs w:val="22"/>
                <w:lang w:eastAsia="en-US"/>
              </w:rPr>
              <w:t xml:space="preserve"> </w:t>
            </w:r>
            <w:r w:rsidRPr="00B45F28">
              <w:rPr>
                <w:rFonts w:ascii="Calibri" w:hAnsi="Calibri"/>
                <w:sz w:val="22"/>
                <w:szCs w:val="22"/>
                <w:lang w:eastAsia="en-US"/>
              </w:rPr>
              <w:t>respective human rights agenda</w:t>
            </w:r>
            <w:r w:rsidR="009C78C1" w:rsidRPr="00B45F28">
              <w:rPr>
                <w:rFonts w:ascii="Calibri" w:hAnsi="Calibri"/>
                <w:sz w:val="22"/>
                <w:szCs w:val="22"/>
                <w:lang w:eastAsia="en-US"/>
              </w:rPr>
              <w:t>s</w:t>
            </w:r>
            <w:r w:rsidRPr="00B45F28">
              <w:rPr>
                <w:rFonts w:ascii="Calibri" w:hAnsi="Calibri"/>
                <w:sz w:val="22"/>
                <w:szCs w:val="22"/>
                <w:lang w:eastAsia="en-US"/>
              </w:rPr>
              <w:t xml:space="preserve"> at international and national</w:t>
            </w:r>
            <w:r w:rsidR="009D087F" w:rsidRPr="00B45F28">
              <w:rPr>
                <w:rFonts w:ascii="Calibri" w:hAnsi="Calibri"/>
                <w:sz w:val="22"/>
                <w:szCs w:val="22"/>
                <w:lang w:eastAsia="en-US"/>
              </w:rPr>
              <w:t xml:space="preserve"> levels. </w:t>
            </w:r>
          </w:p>
          <w:p w14:paraId="54E87EC8" w14:textId="77777777" w:rsidR="00B45F28" w:rsidRPr="00B45F28" w:rsidRDefault="00B45F28" w:rsidP="00B45F28">
            <w:pPr>
              <w:shd w:val="clear" w:color="auto" w:fill="FFFFFF" w:themeFill="background1"/>
              <w:jc w:val="both"/>
              <w:rPr>
                <w:rFonts w:ascii="Calibri" w:hAnsi="Calibri"/>
                <w:sz w:val="22"/>
                <w:szCs w:val="22"/>
                <w:lang w:eastAsia="en-US"/>
              </w:rPr>
            </w:pPr>
          </w:p>
          <w:p w14:paraId="07B080B8" w14:textId="459A8B8D" w:rsidR="00B53557" w:rsidRPr="00740917" w:rsidRDefault="00B53557" w:rsidP="00B45F28">
            <w:pPr>
              <w:shd w:val="clear" w:color="auto" w:fill="FFFFFF" w:themeFill="background1"/>
              <w:jc w:val="both"/>
              <w:rPr>
                <w:rFonts w:ascii="Calibri" w:hAnsi="Calibri"/>
                <w:sz w:val="22"/>
                <w:szCs w:val="22"/>
                <w:lang w:eastAsia="en-US"/>
              </w:rPr>
            </w:pPr>
            <w:r w:rsidRPr="00B45F28">
              <w:rPr>
                <w:rFonts w:ascii="Calibri" w:hAnsi="Calibri"/>
                <w:sz w:val="22"/>
                <w:szCs w:val="22"/>
                <w:lang w:eastAsia="en-US"/>
              </w:rPr>
              <w:t xml:space="preserve">Coalition members </w:t>
            </w:r>
            <w:r w:rsidR="001528B4" w:rsidRPr="00B45F28">
              <w:rPr>
                <w:rFonts w:ascii="Calibri" w:hAnsi="Calibri"/>
                <w:sz w:val="22"/>
                <w:szCs w:val="22"/>
                <w:lang w:eastAsia="en-US"/>
              </w:rPr>
              <w:t>have made efforts</w:t>
            </w:r>
            <w:r w:rsidRPr="00B45F28">
              <w:rPr>
                <w:rFonts w:ascii="Calibri" w:hAnsi="Calibri"/>
                <w:sz w:val="22"/>
                <w:szCs w:val="22"/>
                <w:lang w:eastAsia="en-US"/>
              </w:rPr>
              <w:t xml:space="preserve"> to improve access to justice for those who suffered the most during the conflict</w:t>
            </w:r>
            <w:r w:rsidR="001528B4" w:rsidRPr="00B45F28">
              <w:rPr>
                <w:rFonts w:ascii="Calibri" w:hAnsi="Calibri"/>
                <w:sz w:val="22"/>
                <w:szCs w:val="22"/>
                <w:lang w:eastAsia="en-US"/>
              </w:rPr>
              <w:t>,</w:t>
            </w:r>
            <w:r w:rsidRPr="00B45F28">
              <w:rPr>
                <w:rFonts w:ascii="Calibri" w:hAnsi="Calibri"/>
                <w:sz w:val="22"/>
                <w:szCs w:val="22"/>
                <w:lang w:eastAsia="en-US"/>
              </w:rPr>
              <w:t xml:space="preserve"> and </w:t>
            </w:r>
            <w:r w:rsidR="001528B4" w:rsidRPr="00B45F28">
              <w:rPr>
                <w:rFonts w:ascii="Calibri" w:hAnsi="Calibri"/>
                <w:sz w:val="22"/>
                <w:szCs w:val="22"/>
                <w:lang w:eastAsia="en-US"/>
              </w:rPr>
              <w:t xml:space="preserve">to </w:t>
            </w:r>
            <w:r w:rsidRPr="00B45F28">
              <w:rPr>
                <w:rFonts w:ascii="Calibri" w:hAnsi="Calibri"/>
                <w:sz w:val="22"/>
                <w:szCs w:val="22"/>
                <w:lang w:eastAsia="en-US"/>
              </w:rPr>
              <w:t>continue providing vital support to such people</w:t>
            </w:r>
            <w:r w:rsidR="001528B4" w:rsidRPr="00B45F28">
              <w:rPr>
                <w:rFonts w:ascii="Calibri" w:hAnsi="Calibri"/>
                <w:sz w:val="22"/>
                <w:szCs w:val="22"/>
                <w:lang w:eastAsia="en-US"/>
              </w:rPr>
              <w:t>. These include</w:t>
            </w:r>
            <w:r w:rsidRPr="00B45F28">
              <w:rPr>
                <w:rFonts w:ascii="Calibri" w:hAnsi="Calibri"/>
                <w:sz w:val="22"/>
                <w:szCs w:val="22"/>
                <w:lang w:eastAsia="en-US"/>
              </w:rPr>
              <w:t xml:space="preserve"> victims of illegal detentions, tortures, released prisoners, immigrants unlawfully deprived of property, and facilitate their reintegration into Ukrainian society.</w:t>
            </w:r>
          </w:p>
          <w:p w14:paraId="40A4B150" w14:textId="77777777" w:rsidR="00B53557" w:rsidRPr="009C1EDC" w:rsidRDefault="00B53557" w:rsidP="00B53557">
            <w:pPr>
              <w:ind w:left="540"/>
              <w:rPr>
                <w:rFonts w:ascii="Calibri" w:hAnsi="Calibri"/>
                <w:sz w:val="22"/>
                <w:szCs w:val="22"/>
                <w:lang w:eastAsia="en-US"/>
              </w:rPr>
            </w:pPr>
          </w:p>
          <w:p w14:paraId="2A98C225" w14:textId="4CB38217" w:rsidR="00B53557" w:rsidRPr="008620D2" w:rsidRDefault="00B53557" w:rsidP="00B53557">
            <w:pPr>
              <w:rPr>
                <w:rFonts w:asciiTheme="minorHAnsi" w:hAnsiTheme="minorHAnsi" w:cstheme="minorHAnsi"/>
                <w:sz w:val="22"/>
                <w:szCs w:val="22"/>
                <w:u w:val="single"/>
              </w:rPr>
            </w:pPr>
            <w:r w:rsidRPr="008620D2">
              <w:rPr>
                <w:rFonts w:asciiTheme="minorHAnsi" w:hAnsiTheme="minorHAnsi" w:cstheme="minorHAnsi"/>
                <w:sz w:val="22"/>
                <w:szCs w:val="22"/>
                <w:u w:val="single"/>
              </w:rPr>
              <w:t xml:space="preserve">The </w:t>
            </w:r>
            <w:r>
              <w:rPr>
                <w:rFonts w:asciiTheme="minorHAnsi" w:hAnsiTheme="minorHAnsi" w:cstheme="minorHAnsi"/>
                <w:sz w:val="22"/>
                <w:szCs w:val="22"/>
                <w:u w:val="single"/>
              </w:rPr>
              <w:t xml:space="preserve">Joint Response to the crisis by the </w:t>
            </w:r>
            <w:r w:rsidRPr="008620D2">
              <w:rPr>
                <w:rFonts w:asciiTheme="minorHAnsi" w:hAnsiTheme="minorHAnsi" w:cstheme="minorHAnsi"/>
                <w:sz w:val="22"/>
                <w:szCs w:val="22"/>
                <w:u w:val="single"/>
              </w:rPr>
              <w:t xml:space="preserve">Office of </w:t>
            </w:r>
            <w:r>
              <w:rPr>
                <w:rFonts w:ascii="Calibri" w:hAnsi="Calibri"/>
                <w:sz w:val="22"/>
                <w:szCs w:val="22"/>
                <w:u w:val="single"/>
                <w:lang w:eastAsia="en-US"/>
              </w:rPr>
              <w:t>Ombudsperson and CSOs</w:t>
            </w:r>
          </w:p>
          <w:p w14:paraId="45E2D54E" w14:textId="2A1DF990" w:rsidR="00B53557" w:rsidRDefault="00B53557" w:rsidP="00B53557">
            <w:pPr>
              <w:jc w:val="both"/>
              <w:rPr>
                <w:rFonts w:asciiTheme="minorHAnsi" w:hAnsiTheme="minorHAnsi" w:cstheme="minorHAnsi"/>
                <w:sz w:val="22"/>
                <w:szCs w:val="22"/>
              </w:rPr>
            </w:pPr>
          </w:p>
          <w:p w14:paraId="3D8A7492" w14:textId="2B70817B" w:rsidR="00B53557" w:rsidRDefault="00B53557" w:rsidP="00B53557">
            <w:pPr>
              <w:jc w:val="both"/>
              <w:rPr>
                <w:rFonts w:asciiTheme="minorHAnsi" w:hAnsiTheme="minorHAnsi" w:cstheme="minorHAnsi"/>
                <w:sz w:val="22"/>
                <w:szCs w:val="22"/>
              </w:rPr>
            </w:pPr>
            <w:r>
              <w:rPr>
                <w:rFonts w:asciiTheme="minorHAnsi" w:hAnsiTheme="minorHAnsi" w:cstheme="minorHAnsi"/>
                <w:sz w:val="22"/>
                <w:szCs w:val="22"/>
              </w:rPr>
              <w:t>The OO was able to start monitoring the situation in the conflict-affected regions right upon the beginning of the crisis due to the timely support from DHRP</w:t>
            </w:r>
            <w:r w:rsidR="008B3DED">
              <w:rPr>
                <w:rFonts w:asciiTheme="minorHAnsi" w:hAnsiTheme="minorHAnsi" w:cstheme="minorHAnsi"/>
                <w:sz w:val="22"/>
                <w:szCs w:val="22"/>
              </w:rPr>
              <w:t>,</w:t>
            </w:r>
            <w:r>
              <w:rPr>
                <w:rFonts w:asciiTheme="minorHAnsi" w:hAnsiTheme="minorHAnsi" w:cstheme="minorHAnsi"/>
                <w:sz w:val="22"/>
                <w:szCs w:val="22"/>
              </w:rPr>
              <w:t xml:space="preserve"> and other international organizations. OO initiated the discussion of the role of Ombudsperson Institution in conflict and post-conflict situations </w:t>
            </w:r>
            <w:r w:rsidR="008B3DED">
              <w:rPr>
                <w:rFonts w:asciiTheme="minorHAnsi" w:hAnsiTheme="minorHAnsi" w:cstheme="minorHAnsi"/>
                <w:sz w:val="22"/>
                <w:szCs w:val="22"/>
              </w:rPr>
              <w:t xml:space="preserve">at an </w:t>
            </w:r>
            <w:r>
              <w:rPr>
                <w:rFonts w:asciiTheme="minorHAnsi" w:hAnsiTheme="minorHAnsi" w:cstheme="minorHAnsi"/>
                <w:sz w:val="22"/>
                <w:szCs w:val="22"/>
              </w:rPr>
              <w:t xml:space="preserve">international level. With the Programme’s support, the OO led the development of the Kyiv Declaration on the Role of Ombudspersons in Conflict, that was </w:t>
            </w:r>
            <w:r w:rsidRPr="00910B8F">
              <w:rPr>
                <w:rFonts w:asciiTheme="minorHAnsi" w:hAnsiTheme="minorHAnsi" w:cstheme="minorHAnsi"/>
                <w:sz w:val="22"/>
                <w:szCs w:val="22"/>
              </w:rPr>
              <w:t xml:space="preserve">adopted by </w:t>
            </w:r>
            <w:r>
              <w:rPr>
                <w:rFonts w:asciiTheme="minorHAnsi" w:hAnsiTheme="minorHAnsi" w:cstheme="minorHAnsi"/>
                <w:sz w:val="22"/>
                <w:szCs w:val="22"/>
              </w:rPr>
              <w:t xml:space="preserve">over 100 representatives </w:t>
            </w:r>
            <w:r w:rsidRPr="00910B8F">
              <w:rPr>
                <w:rFonts w:asciiTheme="minorHAnsi" w:hAnsiTheme="minorHAnsi" w:cstheme="minorHAnsi"/>
                <w:iCs/>
                <w:sz w:val="22"/>
                <w:szCs w:val="22"/>
              </w:rPr>
              <w:t xml:space="preserve">from NHRIs, leaders, human rights experts, and civic activists </w:t>
            </w:r>
            <w:r>
              <w:rPr>
                <w:rFonts w:asciiTheme="minorHAnsi" w:hAnsiTheme="minorHAnsi" w:cstheme="minorHAnsi"/>
                <w:iCs/>
                <w:sz w:val="22"/>
                <w:szCs w:val="22"/>
                <w:lang w:val="en-US"/>
              </w:rPr>
              <w:t>in October 2015</w:t>
            </w:r>
            <w:r w:rsidR="007003AA">
              <w:rPr>
                <w:rFonts w:asciiTheme="minorHAnsi" w:hAnsiTheme="minorHAnsi" w:cstheme="minorHAnsi"/>
                <w:iCs/>
                <w:sz w:val="22"/>
                <w:szCs w:val="22"/>
                <w:lang w:val="en-US"/>
              </w:rPr>
              <w:t>,</w:t>
            </w:r>
            <w:r>
              <w:rPr>
                <w:rFonts w:asciiTheme="minorHAnsi" w:hAnsiTheme="minorHAnsi" w:cstheme="minorHAnsi"/>
                <w:iCs/>
                <w:sz w:val="22"/>
                <w:szCs w:val="22"/>
                <w:lang w:val="en-US"/>
              </w:rPr>
              <w:t xml:space="preserve"> </w:t>
            </w:r>
            <w:r w:rsidRPr="00910B8F">
              <w:rPr>
                <w:rFonts w:asciiTheme="minorHAnsi" w:hAnsiTheme="minorHAnsi" w:cstheme="minorHAnsi"/>
                <w:iCs/>
                <w:sz w:val="22"/>
                <w:szCs w:val="22"/>
              </w:rPr>
              <w:t>calling for a stronger role of NHRIs in conflict and post-conflict settings.</w:t>
            </w:r>
            <w:r>
              <w:rPr>
                <w:rFonts w:asciiTheme="minorHAnsi" w:hAnsiTheme="minorHAnsi" w:cstheme="minorHAnsi"/>
                <w:iCs/>
                <w:sz w:val="22"/>
                <w:szCs w:val="22"/>
              </w:rPr>
              <w:t xml:space="preserve"> The Kyiv Declaration </w:t>
            </w:r>
            <w:r>
              <w:rPr>
                <w:rFonts w:asciiTheme="minorHAnsi" w:hAnsiTheme="minorHAnsi" w:cstheme="minorHAnsi"/>
                <w:sz w:val="22"/>
                <w:szCs w:val="22"/>
              </w:rPr>
              <w:t xml:space="preserve">has the potential to impact conflict-affected people around the world.  </w:t>
            </w:r>
          </w:p>
          <w:p w14:paraId="55C74632" w14:textId="58DCDE21" w:rsidR="00B53557" w:rsidRDefault="00B53557" w:rsidP="00B53557">
            <w:pPr>
              <w:ind w:left="540"/>
              <w:rPr>
                <w:rFonts w:asciiTheme="minorHAnsi" w:hAnsiTheme="minorHAnsi" w:cstheme="minorHAnsi"/>
                <w:sz w:val="22"/>
                <w:szCs w:val="22"/>
              </w:rPr>
            </w:pPr>
          </w:p>
          <w:p w14:paraId="06A20F25" w14:textId="7F2E6BFC" w:rsidR="00B53557" w:rsidRPr="00560397" w:rsidRDefault="00B53557" w:rsidP="00B53557">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 xml:space="preserve">Throughout 2014-2015, DHRP supported the </w:t>
            </w:r>
            <w:r w:rsidRPr="00842AD6">
              <w:rPr>
                <w:rFonts w:asciiTheme="minorHAnsi" w:hAnsiTheme="minorHAnsi" w:cstheme="minorHAnsi"/>
                <w:i/>
                <w:sz w:val="22"/>
                <w:szCs w:val="22"/>
              </w:rPr>
              <w:t>IDP Resource Centre</w:t>
            </w:r>
            <w:r w:rsidR="007003AA">
              <w:rPr>
                <w:rFonts w:asciiTheme="minorHAnsi" w:hAnsiTheme="minorHAnsi" w:cstheme="minorHAnsi"/>
                <w:i/>
                <w:sz w:val="22"/>
                <w:szCs w:val="22"/>
              </w:rPr>
              <w:t>,</w:t>
            </w:r>
            <w:r w:rsidRPr="00842AD6">
              <w:rPr>
                <w:rFonts w:asciiTheme="minorHAnsi" w:hAnsiTheme="minorHAnsi" w:cstheme="minorHAnsi"/>
                <w:sz w:val="22"/>
                <w:szCs w:val="22"/>
              </w:rPr>
              <w:t xml:space="preserve"> established by 7</w:t>
            </w:r>
            <w:r>
              <w:rPr>
                <w:rFonts w:asciiTheme="minorHAnsi" w:hAnsiTheme="minorHAnsi" w:cstheme="minorHAnsi"/>
                <w:sz w:val="22"/>
                <w:szCs w:val="22"/>
              </w:rPr>
              <w:t> </w:t>
            </w:r>
            <w:r w:rsidRPr="00842AD6">
              <w:rPr>
                <w:rFonts w:asciiTheme="minorHAnsi" w:hAnsiTheme="minorHAnsi" w:cstheme="minorHAnsi"/>
                <w:sz w:val="22"/>
                <w:szCs w:val="22"/>
              </w:rPr>
              <w:t>prominent CSOs</w:t>
            </w:r>
            <w:r w:rsidR="007003AA">
              <w:rPr>
                <w:rFonts w:asciiTheme="minorHAnsi" w:hAnsiTheme="minorHAnsi" w:cstheme="minorHAnsi"/>
                <w:sz w:val="22"/>
                <w:szCs w:val="22"/>
              </w:rPr>
              <w:t>,</w:t>
            </w:r>
            <w:r w:rsidRPr="00842AD6">
              <w:rPr>
                <w:rFonts w:asciiTheme="minorHAnsi" w:hAnsiTheme="minorHAnsi" w:cstheme="minorHAnsi"/>
                <w:sz w:val="22"/>
                <w:szCs w:val="22"/>
              </w:rPr>
              <w:t xml:space="preserve"> and the OO. </w:t>
            </w:r>
            <w:r>
              <w:rPr>
                <w:rFonts w:asciiTheme="minorHAnsi" w:hAnsiTheme="minorHAnsi" w:cstheme="minorHAnsi"/>
                <w:sz w:val="22"/>
                <w:szCs w:val="22"/>
              </w:rPr>
              <w:t>T</w:t>
            </w:r>
            <w:r w:rsidRPr="00842AD6">
              <w:rPr>
                <w:rFonts w:asciiTheme="minorHAnsi" w:hAnsiTheme="minorHAnsi" w:cstheme="minorHAnsi"/>
                <w:sz w:val="22"/>
                <w:szCs w:val="22"/>
              </w:rPr>
              <w:t>he Centre’s main objectives include</w:t>
            </w:r>
            <w:r w:rsidR="007003AA">
              <w:rPr>
                <w:rFonts w:asciiTheme="minorHAnsi" w:hAnsiTheme="minorHAnsi" w:cstheme="minorHAnsi"/>
                <w:sz w:val="22"/>
                <w:szCs w:val="22"/>
              </w:rPr>
              <w:t xml:space="preserve"> providing</w:t>
            </w:r>
            <w:r w:rsidRPr="00842AD6">
              <w:rPr>
                <w:rFonts w:asciiTheme="minorHAnsi" w:hAnsiTheme="minorHAnsi" w:cstheme="minorHAnsi"/>
                <w:sz w:val="22"/>
                <w:szCs w:val="22"/>
              </w:rPr>
              <w:t xml:space="preserve"> support to </w:t>
            </w:r>
            <w:r w:rsidR="007003AA">
              <w:rPr>
                <w:rFonts w:asciiTheme="minorHAnsi" w:hAnsiTheme="minorHAnsi" w:cstheme="minorHAnsi"/>
                <w:sz w:val="22"/>
                <w:szCs w:val="22"/>
              </w:rPr>
              <w:t xml:space="preserve">the </w:t>
            </w:r>
            <w:r w:rsidRPr="00842AD6">
              <w:rPr>
                <w:rFonts w:asciiTheme="minorHAnsi" w:hAnsiTheme="minorHAnsi" w:cstheme="minorHAnsi"/>
                <w:sz w:val="22"/>
                <w:szCs w:val="22"/>
              </w:rPr>
              <w:t>development and implementation of long-term strategies for IDPs, amending legislation and administrative practice</w:t>
            </w:r>
            <w:r w:rsidR="007003AA">
              <w:rPr>
                <w:rFonts w:asciiTheme="minorHAnsi" w:hAnsiTheme="minorHAnsi" w:cstheme="minorHAnsi"/>
                <w:sz w:val="22"/>
                <w:szCs w:val="22"/>
              </w:rPr>
              <w:t>s</w:t>
            </w:r>
            <w:r w:rsidRPr="00842AD6">
              <w:rPr>
                <w:rFonts w:asciiTheme="minorHAnsi" w:hAnsiTheme="minorHAnsi" w:cstheme="minorHAnsi"/>
                <w:sz w:val="22"/>
                <w:szCs w:val="22"/>
              </w:rPr>
              <w:t>, monitoring violations of IDPs rights, as well as establishing communication and cooperation between the various initiatives and organizations that provide assistance to IDPs. In this regard, the Centre provided legal advice on labour law</w:t>
            </w:r>
            <w:r w:rsidR="007003AA">
              <w:rPr>
                <w:rFonts w:asciiTheme="minorHAnsi" w:hAnsiTheme="minorHAnsi" w:cstheme="minorHAnsi"/>
                <w:sz w:val="22"/>
                <w:szCs w:val="22"/>
              </w:rPr>
              <w:t>s</w:t>
            </w:r>
            <w:r w:rsidRPr="00842AD6">
              <w:rPr>
                <w:rFonts w:asciiTheme="minorHAnsi" w:hAnsiTheme="minorHAnsi" w:cstheme="minorHAnsi"/>
                <w:sz w:val="22"/>
                <w:szCs w:val="22"/>
              </w:rPr>
              <w:t xml:space="preserve">, </w:t>
            </w:r>
            <w:r w:rsidR="007003AA">
              <w:rPr>
                <w:rFonts w:asciiTheme="minorHAnsi" w:hAnsiTheme="minorHAnsi" w:cstheme="minorHAnsi"/>
                <w:sz w:val="22"/>
                <w:szCs w:val="22"/>
              </w:rPr>
              <w:t>a</w:t>
            </w:r>
            <w:r w:rsidR="007003AA" w:rsidRPr="00842AD6">
              <w:rPr>
                <w:rFonts w:asciiTheme="minorHAnsi" w:hAnsiTheme="minorHAnsi" w:cstheme="minorHAnsi"/>
                <w:sz w:val="22"/>
                <w:szCs w:val="22"/>
              </w:rPr>
              <w:t xml:space="preserve"> </w:t>
            </w:r>
            <w:r w:rsidRPr="00842AD6">
              <w:rPr>
                <w:rFonts w:asciiTheme="minorHAnsi" w:hAnsiTheme="minorHAnsi" w:cstheme="minorHAnsi"/>
                <w:sz w:val="22"/>
                <w:szCs w:val="22"/>
              </w:rPr>
              <w:t>system of passes to enter the Anti-Terrorist Operation zone, issues of welfare, registration as IDPs</w:t>
            </w:r>
            <w:r w:rsidR="007003AA">
              <w:rPr>
                <w:rFonts w:asciiTheme="minorHAnsi" w:hAnsiTheme="minorHAnsi" w:cstheme="minorHAnsi"/>
                <w:sz w:val="22"/>
                <w:szCs w:val="22"/>
              </w:rPr>
              <w:t>,</w:t>
            </w:r>
            <w:r w:rsidRPr="00842AD6">
              <w:rPr>
                <w:rFonts w:asciiTheme="minorHAnsi" w:hAnsiTheme="minorHAnsi" w:cstheme="minorHAnsi"/>
                <w:sz w:val="22"/>
                <w:szCs w:val="22"/>
              </w:rPr>
              <w:t xml:space="preserve"> and document recovery. The Centre prepared 3 analytical reviews and conducted 4 monitoring field-visits covering 12 locations. T</w:t>
            </w:r>
            <w:r w:rsidRPr="00842AD6">
              <w:rPr>
                <w:rFonts w:asciiTheme="minorHAnsi" w:hAnsiTheme="minorHAnsi"/>
                <w:sz w:val="22"/>
                <w:szCs w:val="22"/>
              </w:rPr>
              <w:t xml:space="preserve">he Centre also launched its dedicated </w:t>
            </w:r>
            <w:hyperlink r:id="rId25" w:history="1">
              <w:r w:rsidRPr="00842AD6">
                <w:rPr>
                  <w:rStyle w:val="Hyperlink"/>
                  <w:rFonts w:asciiTheme="minorHAnsi" w:hAnsiTheme="minorHAnsi"/>
                  <w:sz w:val="22"/>
                  <w:szCs w:val="22"/>
                </w:rPr>
                <w:t>website</w:t>
              </w:r>
            </w:hyperlink>
            <w:r w:rsidRPr="00842AD6">
              <w:rPr>
                <w:rFonts w:asciiTheme="minorHAnsi" w:hAnsiTheme="minorHAnsi"/>
                <w:sz w:val="22"/>
                <w:szCs w:val="22"/>
              </w:rPr>
              <w:t xml:space="preserve"> and </w:t>
            </w:r>
            <w:hyperlink r:id="rId26" w:history="1">
              <w:r w:rsidRPr="00842AD6">
                <w:rPr>
                  <w:rStyle w:val="Hyperlink"/>
                  <w:rFonts w:asciiTheme="minorHAnsi" w:hAnsiTheme="minorHAnsi"/>
                  <w:sz w:val="22"/>
                  <w:szCs w:val="22"/>
                </w:rPr>
                <w:t>Facebook page</w:t>
              </w:r>
            </w:hyperlink>
            <w:r w:rsidRPr="00842AD6">
              <w:rPr>
                <w:rFonts w:asciiTheme="minorHAnsi" w:hAnsiTheme="minorHAnsi"/>
                <w:sz w:val="22"/>
                <w:szCs w:val="22"/>
              </w:rPr>
              <w:t xml:space="preserve"> with more than 4,000 followers.</w:t>
            </w:r>
          </w:p>
          <w:p w14:paraId="61DC82E8" w14:textId="77777777" w:rsidR="00B53557" w:rsidRDefault="00B53557" w:rsidP="00B53557">
            <w:pPr>
              <w:jc w:val="both"/>
              <w:rPr>
                <w:rFonts w:asciiTheme="minorHAnsi" w:hAnsiTheme="minorHAnsi" w:cstheme="minorHAnsi"/>
                <w:sz w:val="22"/>
                <w:szCs w:val="22"/>
              </w:rPr>
            </w:pPr>
          </w:p>
          <w:p w14:paraId="3616023F" w14:textId="78BE943D" w:rsidR="00B53557" w:rsidRDefault="00B53557" w:rsidP="00B53557">
            <w:pPr>
              <w:jc w:val="both"/>
              <w:rPr>
                <w:rFonts w:asciiTheme="minorHAnsi" w:hAnsiTheme="minorHAnsi" w:cstheme="minorHAnsi"/>
                <w:sz w:val="22"/>
                <w:szCs w:val="22"/>
              </w:rPr>
            </w:pPr>
            <w:r>
              <w:rPr>
                <w:rFonts w:asciiTheme="minorHAnsi" w:hAnsiTheme="minorHAnsi" w:cstheme="minorHAnsi"/>
                <w:sz w:val="22"/>
                <w:szCs w:val="22"/>
              </w:rPr>
              <w:t xml:space="preserve">These successful initiatives were adopted and </w:t>
            </w:r>
            <w:r w:rsidRPr="001B68E2">
              <w:rPr>
                <w:rFonts w:ascii="Calibri" w:hAnsi="Calibri"/>
                <w:sz w:val="22"/>
                <w:szCs w:val="22"/>
                <w:lang w:eastAsia="en-US"/>
              </w:rPr>
              <w:t>further</w:t>
            </w:r>
            <w:r>
              <w:rPr>
                <w:rFonts w:asciiTheme="minorHAnsi" w:hAnsiTheme="minorHAnsi" w:cstheme="minorHAnsi"/>
                <w:sz w:val="22"/>
                <w:szCs w:val="22"/>
              </w:rPr>
              <w:t xml:space="preserve"> developed by the new DMFA-funded project ‘’</w:t>
            </w:r>
            <w:r w:rsidRPr="00FA1782">
              <w:rPr>
                <w:rFonts w:asciiTheme="minorHAnsi" w:hAnsiTheme="minorHAnsi" w:cstheme="minorHAnsi"/>
                <w:sz w:val="22"/>
                <w:szCs w:val="22"/>
              </w:rPr>
              <w:t>Strengthening Capacities of the Office of the Ombudsperson</w:t>
            </w:r>
            <w:r>
              <w:rPr>
                <w:rFonts w:asciiTheme="minorHAnsi" w:hAnsiTheme="minorHAnsi" w:cstheme="minorHAnsi"/>
                <w:sz w:val="22"/>
                <w:szCs w:val="22"/>
              </w:rPr>
              <w:t xml:space="preserve">’’ which continues to build </w:t>
            </w:r>
            <w:r w:rsidR="00637057">
              <w:rPr>
                <w:rFonts w:asciiTheme="minorHAnsi" w:hAnsiTheme="minorHAnsi" w:cstheme="minorHAnsi"/>
                <w:sz w:val="22"/>
                <w:szCs w:val="22"/>
              </w:rPr>
              <w:t xml:space="preserve">the </w:t>
            </w:r>
            <w:r>
              <w:rPr>
                <w:rFonts w:asciiTheme="minorHAnsi" w:hAnsiTheme="minorHAnsi" w:cstheme="minorHAnsi"/>
                <w:sz w:val="22"/>
                <w:szCs w:val="22"/>
              </w:rPr>
              <w:t>capacities of the OO office and its partners to address IDPs’ human rights violations</w:t>
            </w:r>
            <w:r w:rsidR="00637057">
              <w:rPr>
                <w:rFonts w:asciiTheme="minorHAnsi" w:hAnsiTheme="minorHAnsi" w:cstheme="minorHAnsi"/>
                <w:sz w:val="22"/>
                <w:szCs w:val="22"/>
              </w:rPr>
              <w:t>. This is done</w:t>
            </w:r>
            <w:r>
              <w:rPr>
                <w:rFonts w:asciiTheme="minorHAnsi" w:hAnsiTheme="minorHAnsi" w:cstheme="minorHAnsi"/>
                <w:sz w:val="22"/>
                <w:szCs w:val="22"/>
              </w:rPr>
              <w:t xml:space="preserve"> through training courses</w:t>
            </w:r>
            <w:r w:rsidR="00637057">
              <w:rPr>
                <w:rFonts w:asciiTheme="minorHAnsi" w:hAnsiTheme="minorHAnsi" w:cstheme="minorHAnsi"/>
                <w:sz w:val="22"/>
                <w:szCs w:val="22"/>
              </w:rPr>
              <w:t>,</w:t>
            </w:r>
            <w:r>
              <w:rPr>
                <w:rFonts w:asciiTheme="minorHAnsi" w:hAnsiTheme="minorHAnsi" w:cstheme="minorHAnsi"/>
                <w:sz w:val="22"/>
                <w:szCs w:val="22"/>
              </w:rPr>
              <w:t xml:space="preserve"> and strengthening regional presence in conflict-affected Donetsk and Luhansk oblasts. The results of such rapid response to the needs of the vulnerable population made the Ombudsperson’s Office one of the most trusted institutions in Donbas – according to the National Human Rights Baseline study, 21% of the population in those regions believe the institution to be effective in protecting their rights. </w:t>
            </w:r>
          </w:p>
          <w:p w14:paraId="4249E4D7" w14:textId="27DCEF8A" w:rsidR="005C3D3C" w:rsidRDefault="005C3D3C" w:rsidP="00B53557">
            <w:pPr>
              <w:jc w:val="both"/>
              <w:rPr>
                <w:rFonts w:asciiTheme="minorHAnsi" w:hAnsiTheme="minorHAnsi" w:cstheme="minorHAnsi"/>
                <w:sz w:val="22"/>
                <w:szCs w:val="22"/>
              </w:rPr>
            </w:pPr>
          </w:p>
          <w:p w14:paraId="61DE3608" w14:textId="3449B188" w:rsidR="005C3D3C" w:rsidRPr="005C3D3C" w:rsidRDefault="005C3D3C" w:rsidP="00B53557">
            <w:pPr>
              <w:jc w:val="both"/>
              <w:rPr>
                <w:rFonts w:asciiTheme="minorHAnsi" w:hAnsiTheme="minorHAnsi" w:cstheme="minorHAnsi"/>
                <w:b/>
                <w:i/>
                <w:sz w:val="22"/>
                <w:szCs w:val="22"/>
                <w:lang w:val="en-US"/>
              </w:rPr>
            </w:pPr>
            <w:r>
              <w:rPr>
                <w:rFonts w:ascii="Calibri" w:hAnsi="Calibri"/>
                <w:sz w:val="22"/>
                <w:szCs w:val="22"/>
                <w:lang w:eastAsia="en-US"/>
              </w:rPr>
              <w:t xml:space="preserve">See more details on the programme achievements </w:t>
            </w:r>
            <w:r>
              <w:rPr>
                <w:rFonts w:ascii="Calibri" w:hAnsi="Calibri"/>
                <w:sz w:val="22"/>
                <w:szCs w:val="22"/>
                <w:lang w:val="en-US" w:eastAsia="en-US"/>
              </w:rPr>
              <w:t xml:space="preserve">on promoting human rights in </w:t>
            </w:r>
            <w:r>
              <w:rPr>
                <w:rFonts w:asciiTheme="minorHAnsi" w:hAnsiTheme="minorHAnsi" w:cs="Arial"/>
                <w:sz w:val="22"/>
                <w:szCs w:val="22"/>
              </w:rPr>
              <w:t>Annex 1b</w:t>
            </w:r>
            <w:r>
              <w:rPr>
                <w:rFonts w:ascii="Calibri" w:hAnsi="Calibri"/>
                <w:sz w:val="22"/>
                <w:szCs w:val="22"/>
                <w:lang w:val="en-US" w:eastAsia="en-US"/>
              </w:rPr>
              <w:t xml:space="preserve">. </w:t>
            </w:r>
          </w:p>
          <w:p w14:paraId="383855C7" w14:textId="2600379B" w:rsidR="00B53557" w:rsidRPr="00BE7881" w:rsidRDefault="00B53557" w:rsidP="00B53557">
            <w:pPr>
              <w:jc w:val="both"/>
              <w:rPr>
                <w:rFonts w:asciiTheme="minorHAnsi" w:hAnsiTheme="minorHAnsi" w:cstheme="minorHAnsi"/>
                <w:sz w:val="22"/>
                <w:szCs w:val="22"/>
              </w:rPr>
            </w:pPr>
          </w:p>
          <w:p w14:paraId="6E1775B4" w14:textId="41C62AA0" w:rsidR="00B53557" w:rsidRPr="00043659" w:rsidRDefault="00B53557" w:rsidP="00B53557">
            <w:pPr>
              <w:ind w:left="540"/>
              <w:rPr>
                <w:rStyle w:val="hps"/>
                <w:rFonts w:asciiTheme="minorHAnsi" w:hAnsiTheme="minorHAnsi" w:cstheme="minorHAnsi"/>
                <w:b/>
                <w:i/>
                <w:sz w:val="22"/>
                <w:szCs w:val="22"/>
              </w:rPr>
            </w:pPr>
            <w:r>
              <w:rPr>
                <w:rFonts w:asciiTheme="minorHAnsi" w:hAnsiTheme="minorHAnsi" w:cstheme="minorHAnsi"/>
                <w:b/>
                <w:i/>
                <w:noProof/>
                <w:sz w:val="22"/>
                <w:szCs w:val="22"/>
                <w:lang w:val="en-US" w:eastAsia="en-US"/>
              </w:rPr>
              <mc:AlternateContent>
                <mc:Choice Requires="wps">
                  <w:drawing>
                    <wp:anchor distT="0" distB="0" distL="114300" distR="114300" simplePos="0" relativeHeight="251672576" behindDoc="0" locked="0" layoutInCell="1" allowOverlap="1" wp14:anchorId="6A5E0361" wp14:editId="33B4967A">
                      <wp:simplePos x="0" y="0"/>
                      <wp:positionH relativeFrom="column">
                        <wp:posOffset>-4445</wp:posOffset>
                      </wp:positionH>
                      <wp:positionV relativeFrom="paragraph">
                        <wp:posOffset>4445</wp:posOffset>
                      </wp:positionV>
                      <wp:extent cx="6164580" cy="3276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6164580" cy="32766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81C43" id="Rectangle 4" o:spid="_x0000_s1026" style="position:absolute;margin-left:-.35pt;margin-top:.35pt;width:485.4pt;height:2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" filled="f" strokecolor="#f79646 [3209]" strokeweight="2pt"/>
                  </w:pict>
                </mc:Fallback>
              </mc:AlternateContent>
            </w:r>
            <w:r w:rsidRPr="00043659">
              <w:rPr>
                <w:rStyle w:val="hps"/>
                <w:rFonts w:asciiTheme="minorHAnsi" w:hAnsiTheme="minorHAnsi" w:cstheme="minorHAnsi"/>
                <w:b/>
                <w:i/>
                <w:sz w:val="22"/>
                <w:szCs w:val="22"/>
              </w:rPr>
              <w:t>IO 3. An improved enabling environment contributes to the realization of democratic rights and dialogue between civil society and authorities.</w:t>
            </w:r>
          </w:p>
          <w:p w14:paraId="37EDBFDA" w14:textId="36E5EBDB" w:rsidR="00B53557" w:rsidRDefault="00B53557" w:rsidP="00B53557">
            <w:pPr>
              <w:jc w:val="both"/>
              <w:rPr>
                <w:rFonts w:asciiTheme="minorHAnsi" w:hAnsiTheme="minorHAnsi" w:cstheme="minorHAnsi"/>
                <w:sz w:val="22"/>
                <w:szCs w:val="22"/>
              </w:rPr>
            </w:pPr>
          </w:p>
          <w:p w14:paraId="04C1E39E" w14:textId="77777777" w:rsidR="00B53557" w:rsidRPr="00347612" w:rsidRDefault="00B53557" w:rsidP="00B53557">
            <w:pPr>
              <w:jc w:val="both"/>
              <w:rPr>
                <w:rFonts w:asciiTheme="minorHAnsi" w:hAnsiTheme="minorHAnsi" w:cstheme="minorHAnsi"/>
                <w:sz w:val="22"/>
                <w:szCs w:val="22"/>
                <w:u w:val="single"/>
              </w:rPr>
            </w:pPr>
            <w:r w:rsidRPr="00347612">
              <w:rPr>
                <w:rFonts w:asciiTheme="minorHAnsi" w:hAnsiTheme="minorHAnsi" w:cstheme="minorHAnsi"/>
                <w:sz w:val="22"/>
                <w:szCs w:val="22"/>
                <w:u w:val="single"/>
              </w:rPr>
              <w:t>Law on Public Associations</w:t>
            </w:r>
          </w:p>
          <w:p w14:paraId="1D45E25E" w14:textId="77777777" w:rsidR="00B53557" w:rsidRPr="00347612" w:rsidRDefault="00B53557" w:rsidP="00B53557">
            <w:pPr>
              <w:jc w:val="both"/>
              <w:rPr>
                <w:rFonts w:asciiTheme="minorHAnsi" w:hAnsiTheme="minorHAnsi" w:cstheme="minorHAnsi"/>
                <w:sz w:val="22"/>
                <w:szCs w:val="22"/>
              </w:rPr>
            </w:pPr>
          </w:p>
          <w:p w14:paraId="1D09EBF2" w14:textId="26EE3F09" w:rsidR="00B53557" w:rsidRDefault="00B53557" w:rsidP="00B53557">
            <w:pPr>
              <w:jc w:val="both"/>
              <w:rPr>
                <w:rFonts w:asciiTheme="minorHAnsi" w:hAnsiTheme="minorHAnsi" w:cstheme="minorHAnsi"/>
                <w:sz w:val="22"/>
                <w:szCs w:val="22"/>
              </w:rPr>
            </w:pPr>
            <w:r w:rsidRPr="00347612">
              <w:rPr>
                <w:rFonts w:asciiTheme="minorHAnsi" w:hAnsiTheme="minorHAnsi" w:cstheme="minorHAnsi"/>
                <w:sz w:val="22"/>
                <w:szCs w:val="22"/>
              </w:rPr>
              <w:t>Since 2014 the Law on Public Associations has not been fully implemented and continues to have persistent problems</w:t>
            </w:r>
            <w:r w:rsidR="003464AC">
              <w:rPr>
                <w:rFonts w:asciiTheme="minorHAnsi" w:hAnsiTheme="minorHAnsi" w:cstheme="minorHAnsi"/>
                <w:sz w:val="22"/>
                <w:szCs w:val="22"/>
              </w:rPr>
              <w:t>,</w:t>
            </w:r>
            <w:r w:rsidRPr="00347612">
              <w:rPr>
                <w:rFonts w:asciiTheme="minorHAnsi" w:hAnsiTheme="minorHAnsi" w:cstheme="minorHAnsi"/>
                <w:sz w:val="22"/>
                <w:szCs w:val="22"/>
              </w:rPr>
              <w:t xml:space="preserve"> </w:t>
            </w:r>
            <w:r w:rsidR="003464AC">
              <w:rPr>
                <w:rFonts w:asciiTheme="minorHAnsi" w:hAnsiTheme="minorHAnsi" w:cstheme="minorHAnsi"/>
                <w:sz w:val="22"/>
                <w:szCs w:val="22"/>
              </w:rPr>
              <w:t xml:space="preserve">it has been </w:t>
            </w:r>
            <w:r w:rsidRPr="00347612">
              <w:rPr>
                <w:rFonts w:asciiTheme="minorHAnsi" w:hAnsiTheme="minorHAnsi" w:cstheme="minorHAnsi"/>
                <w:sz w:val="22"/>
                <w:szCs w:val="22"/>
              </w:rPr>
              <w:t>challenging for CSOs to avoid tax penalties</w:t>
            </w:r>
            <w:r w:rsidR="003464AC">
              <w:rPr>
                <w:rFonts w:asciiTheme="minorHAnsi" w:hAnsiTheme="minorHAnsi" w:cstheme="minorHAnsi"/>
                <w:sz w:val="22"/>
                <w:szCs w:val="22"/>
              </w:rPr>
              <w:t xml:space="preserve">, </w:t>
            </w:r>
            <w:r w:rsidRPr="00347612">
              <w:rPr>
                <w:rFonts w:asciiTheme="minorHAnsi" w:hAnsiTheme="minorHAnsi" w:cstheme="minorHAnsi"/>
                <w:sz w:val="22"/>
                <w:szCs w:val="22"/>
              </w:rPr>
              <w:t>put</w:t>
            </w:r>
            <w:r w:rsidR="003464AC">
              <w:rPr>
                <w:rFonts w:asciiTheme="minorHAnsi" w:hAnsiTheme="minorHAnsi" w:cstheme="minorHAnsi"/>
                <w:sz w:val="22"/>
                <w:szCs w:val="22"/>
              </w:rPr>
              <w:t>ting</w:t>
            </w:r>
            <w:r w:rsidRPr="00347612">
              <w:rPr>
                <w:rFonts w:asciiTheme="minorHAnsi" w:hAnsiTheme="minorHAnsi" w:cstheme="minorHAnsi"/>
                <w:sz w:val="22"/>
                <w:szCs w:val="22"/>
              </w:rPr>
              <w:t xml:space="preserve"> them at risk of losing their non-profit status. Despite </w:t>
            </w:r>
            <w:r w:rsidR="003464AC">
              <w:rPr>
                <w:rFonts w:asciiTheme="minorHAnsi" w:hAnsiTheme="minorHAnsi" w:cstheme="minorHAnsi"/>
                <w:sz w:val="22"/>
                <w:szCs w:val="22"/>
              </w:rPr>
              <w:t>legislative</w:t>
            </w:r>
            <w:r w:rsidRPr="00347612">
              <w:rPr>
                <w:rFonts w:asciiTheme="minorHAnsi" w:hAnsiTheme="minorHAnsi" w:cstheme="minorHAnsi"/>
                <w:sz w:val="22"/>
                <w:szCs w:val="22"/>
              </w:rPr>
              <w:t xml:space="preserve"> challenges, </w:t>
            </w:r>
            <w:r w:rsidR="003464AC">
              <w:rPr>
                <w:rFonts w:asciiTheme="minorHAnsi" w:hAnsiTheme="minorHAnsi" w:cstheme="minorHAnsi"/>
                <w:sz w:val="22"/>
                <w:szCs w:val="22"/>
              </w:rPr>
              <w:t xml:space="preserve">the </w:t>
            </w:r>
            <w:r w:rsidRPr="00347612">
              <w:rPr>
                <w:rFonts w:asciiTheme="minorHAnsi" w:hAnsiTheme="minorHAnsi" w:cstheme="minorHAnsi"/>
                <w:sz w:val="22"/>
                <w:szCs w:val="22"/>
              </w:rPr>
              <w:t>DHRP has been able to support CSOs with securing funding</w:t>
            </w:r>
            <w:r w:rsidR="003464AC">
              <w:rPr>
                <w:rFonts w:asciiTheme="minorHAnsi" w:hAnsiTheme="minorHAnsi" w:cstheme="minorHAnsi"/>
                <w:sz w:val="22"/>
                <w:szCs w:val="22"/>
              </w:rPr>
              <w:t>,</w:t>
            </w:r>
            <w:r w:rsidRPr="00347612">
              <w:rPr>
                <w:rFonts w:asciiTheme="minorHAnsi" w:hAnsiTheme="minorHAnsi" w:cstheme="minorHAnsi"/>
                <w:sz w:val="22"/>
                <w:szCs w:val="22"/>
              </w:rPr>
              <w:t xml:space="preserve"> and develop CSO-public dialogue at </w:t>
            </w:r>
            <w:r w:rsidR="003464AC">
              <w:rPr>
                <w:rFonts w:asciiTheme="minorHAnsi" w:hAnsiTheme="minorHAnsi" w:cstheme="minorHAnsi"/>
                <w:sz w:val="22"/>
                <w:szCs w:val="22"/>
              </w:rPr>
              <w:t>a</w:t>
            </w:r>
            <w:r w:rsidR="003464AC" w:rsidRPr="00347612">
              <w:rPr>
                <w:rFonts w:asciiTheme="minorHAnsi" w:hAnsiTheme="minorHAnsi" w:cstheme="minorHAnsi"/>
                <w:sz w:val="22"/>
                <w:szCs w:val="22"/>
              </w:rPr>
              <w:t xml:space="preserve"> </w:t>
            </w:r>
            <w:r w:rsidRPr="00347612">
              <w:rPr>
                <w:rFonts w:asciiTheme="minorHAnsi" w:hAnsiTheme="minorHAnsi" w:cstheme="minorHAnsi"/>
                <w:sz w:val="22"/>
                <w:szCs w:val="22"/>
              </w:rPr>
              <w:t xml:space="preserve">local level. </w:t>
            </w:r>
            <w:r w:rsidRPr="001C1E4F">
              <w:rPr>
                <w:rFonts w:asciiTheme="minorHAnsi" w:hAnsiTheme="minorHAnsi" w:cstheme="minorHAnsi"/>
                <w:sz w:val="22"/>
                <w:szCs w:val="22"/>
                <w:lang w:val="en-US"/>
              </w:rPr>
              <w:t xml:space="preserve">Monitoring of the implementation of </w:t>
            </w:r>
            <w:r w:rsidRPr="001C1E4F">
              <w:rPr>
                <w:rStyle w:val="hps"/>
                <w:rFonts w:asciiTheme="minorHAnsi" w:hAnsiTheme="minorHAnsi" w:cstheme="minorHAnsi"/>
                <w:sz w:val="22"/>
                <w:szCs w:val="22"/>
                <w:lang w:val="en-US"/>
              </w:rPr>
              <w:t xml:space="preserve">the new Law on Public Associations was conducted </w:t>
            </w:r>
            <w:r>
              <w:rPr>
                <w:rStyle w:val="hps"/>
                <w:rFonts w:asciiTheme="minorHAnsi" w:hAnsiTheme="minorHAnsi" w:cstheme="minorHAnsi"/>
                <w:sz w:val="22"/>
                <w:szCs w:val="22"/>
                <w:lang w:val="en-US"/>
              </w:rPr>
              <w:t xml:space="preserve">in 2013-2014 </w:t>
            </w:r>
            <w:r w:rsidRPr="001C1E4F">
              <w:rPr>
                <w:rStyle w:val="hps"/>
                <w:rFonts w:asciiTheme="minorHAnsi" w:hAnsiTheme="minorHAnsi" w:cstheme="minorHAnsi"/>
                <w:sz w:val="22"/>
                <w:szCs w:val="22"/>
                <w:lang w:val="en-US"/>
              </w:rPr>
              <w:t>by the UNDP</w:t>
            </w:r>
            <w:r w:rsidR="003464AC">
              <w:rPr>
                <w:rStyle w:val="hps"/>
                <w:rFonts w:asciiTheme="minorHAnsi" w:hAnsiTheme="minorHAnsi" w:cstheme="minorHAnsi"/>
                <w:sz w:val="22"/>
                <w:szCs w:val="22"/>
                <w:lang w:val="en-US"/>
              </w:rPr>
              <w:t>,</w:t>
            </w:r>
            <w:r w:rsidRPr="001C1E4F">
              <w:rPr>
                <w:rStyle w:val="hps"/>
                <w:rFonts w:asciiTheme="minorHAnsi" w:hAnsiTheme="minorHAnsi" w:cstheme="minorHAnsi"/>
                <w:sz w:val="22"/>
                <w:szCs w:val="22"/>
                <w:lang w:val="en-US"/>
              </w:rPr>
              <w:t xml:space="preserve"> support</w:t>
            </w:r>
            <w:r w:rsidR="003464AC">
              <w:rPr>
                <w:rStyle w:val="hps"/>
                <w:rFonts w:asciiTheme="minorHAnsi" w:hAnsiTheme="minorHAnsi" w:cstheme="minorHAnsi"/>
                <w:sz w:val="22"/>
                <w:szCs w:val="22"/>
                <w:lang w:val="en-US"/>
              </w:rPr>
              <w:t>ing</w:t>
            </w:r>
            <w:r w:rsidR="00061E2D">
              <w:rPr>
                <w:rStyle w:val="hps"/>
                <w:rFonts w:asciiTheme="minorHAnsi" w:hAnsiTheme="minorHAnsi" w:cstheme="minorHAnsi"/>
                <w:sz w:val="22"/>
                <w:szCs w:val="22"/>
                <w:lang w:val="en-US"/>
              </w:rPr>
              <w:t xml:space="preserve"> a</w:t>
            </w:r>
            <w:r w:rsidRPr="001C1E4F">
              <w:rPr>
                <w:rStyle w:val="hps"/>
                <w:rFonts w:asciiTheme="minorHAnsi" w:hAnsiTheme="minorHAnsi" w:cstheme="minorHAnsi"/>
                <w:sz w:val="22"/>
                <w:szCs w:val="22"/>
                <w:lang w:val="en-US"/>
              </w:rPr>
              <w:t xml:space="preserve"> </w:t>
            </w:r>
            <w:hyperlink r:id="rId27" w:history="1">
              <w:r w:rsidRPr="001C1E4F">
                <w:rPr>
                  <w:rStyle w:val="Hyperlink"/>
                  <w:rFonts w:asciiTheme="minorHAnsi" w:hAnsiTheme="minorHAnsi" w:cstheme="minorHAnsi"/>
                  <w:sz w:val="22"/>
                  <w:szCs w:val="22"/>
                  <w:lang w:val="en-US"/>
                </w:rPr>
                <w:t>27-strong monitoring coalition</w:t>
              </w:r>
            </w:hyperlink>
            <w:r w:rsidRPr="001C1E4F">
              <w:rPr>
                <w:rStyle w:val="hps"/>
                <w:rFonts w:asciiTheme="minorHAnsi" w:hAnsiTheme="minorHAnsi" w:cstheme="minorHAnsi"/>
                <w:sz w:val="22"/>
                <w:szCs w:val="22"/>
                <w:lang w:val="en-US"/>
              </w:rPr>
              <w:t xml:space="preserve"> of CSOs following the joint methodology and trainings conducted for its members. </w:t>
            </w:r>
            <w:r w:rsidRPr="00347612">
              <w:rPr>
                <w:rFonts w:asciiTheme="minorHAnsi" w:hAnsiTheme="minorHAnsi" w:cstheme="minorHAnsi"/>
                <w:sz w:val="22"/>
                <w:szCs w:val="22"/>
              </w:rPr>
              <w:t xml:space="preserve">The Programme has enabled local CSO’s to collaborate on new funding models with local municipalities such as provided free legal aid to citizens. Over the last couple of year, CSOs have made progress in transparency and public dialogue through public forums, removing bureaucracy barriers and providing transparent documents. CSOs have worked to negotiate these actions with local governments to increase public engagement in the decision-making process.    </w:t>
            </w:r>
          </w:p>
          <w:p w14:paraId="7D9B73E4" w14:textId="4FB9EBF6" w:rsidR="00B53557" w:rsidRDefault="00B53557" w:rsidP="00B53557">
            <w:pPr>
              <w:jc w:val="both"/>
              <w:rPr>
                <w:rFonts w:asciiTheme="minorHAnsi" w:hAnsiTheme="minorHAnsi" w:cstheme="minorHAnsi"/>
                <w:sz w:val="22"/>
                <w:szCs w:val="22"/>
              </w:rPr>
            </w:pPr>
          </w:p>
          <w:p w14:paraId="0E39BBC2" w14:textId="77777777" w:rsidR="00B53557" w:rsidRDefault="00B53557" w:rsidP="00B53557">
            <w:pPr>
              <w:jc w:val="both"/>
              <w:rPr>
                <w:rFonts w:asciiTheme="minorHAnsi" w:hAnsiTheme="minorHAnsi" w:cstheme="minorHAnsi"/>
                <w:sz w:val="22"/>
                <w:szCs w:val="22"/>
                <w:u w:val="single"/>
              </w:rPr>
            </w:pPr>
            <w:r w:rsidRPr="00347612">
              <w:rPr>
                <w:rFonts w:asciiTheme="minorHAnsi" w:hAnsiTheme="minorHAnsi" w:cstheme="minorHAnsi"/>
                <w:sz w:val="22"/>
                <w:szCs w:val="22"/>
                <w:u w:val="single"/>
              </w:rPr>
              <w:t>Promoting volunteerism</w:t>
            </w:r>
          </w:p>
          <w:p w14:paraId="57E4A91D" w14:textId="77777777" w:rsidR="00B53557" w:rsidRPr="00347612" w:rsidRDefault="00B53557" w:rsidP="00B53557">
            <w:pPr>
              <w:jc w:val="both"/>
              <w:rPr>
                <w:rFonts w:asciiTheme="minorHAnsi" w:hAnsiTheme="minorHAnsi" w:cstheme="minorHAnsi"/>
                <w:sz w:val="22"/>
                <w:szCs w:val="22"/>
                <w:u w:val="single"/>
              </w:rPr>
            </w:pPr>
          </w:p>
          <w:p w14:paraId="7A389ABE" w14:textId="7C75DA5B" w:rsidR="00B53557" w:rsidRDefault="00B53557" w:rsidP="00B53557">
            <w:pPr>
              <w:jc w:val="both"/>
              <w:rPr>
                <w:rFonts w:asciiTheme="minorHAnsi" w:hAnsiTheme="minorHAnsi" w:cstheme="minorHAnsi"/>
                <w:sz w:val="22"/>
                <w:szCs w:val="22"/>
              </w:rPr>
            </w:pPr>
            <w:r w:rsidRPr="00347612">
              <w:rPr>
                <w:rFonts w:asciiTheme="minorHAnsi" w:hAnsiTheme="minorHAnsi" w:cstheme="minorHAnsi"/>
                <w:sz w:val="22"/>
                <w:szCs w:val="22"/>
              </w:rPr>
              <w:t>One of the main areas that the DHRP has worked</w:t>
            </w:r>
            <w:r w:rsidR="00061E2D">
              <w:rPr>
                <w:rFonts w:asciiTheme="minorHAnsi" w:hAnsiTheme="minorHAnsi" w:cstheme="minorHAnsi"/>
                <w:sz w:val="22"/>
                <w:szCs w:val="22"/>
              </w:rPr>
              <w:t xml:space="preserve"> in</w:t>
            </w:r>
            <w:r w:rsidRPr="00347612">
              <w:rPr>
                <w:rFonts w:asciiTheme="minorHAnsi" w:hAnsiTheme="minorHAnsi" w:cstheme="minorHAnsi"/>
                <w:sz w:val="22"/>
                <w:szCs w:val="22"/>
              </w:rPr>
              <w:t xml:space="preserve"> since 2015 has been </w:t>
            </w:r>
            <w:r w:rsidR="00061E2D">
              <w:rPr>
                <w:rFonts w:asciiTheme="minorHAnsi" w:hAnsiTheme="minorHAnsi" w:cstheme="minorHAnsi"/>
                <w:sz w:val="22"/>
                <w:szCs w:val="22"/>
              </w:rPr>
              <w:t xml:space="preserve">to </w:t>
            </w:r>
            <w:r w:rsidRPr="00347612">
              <w:rPr>
                <w:rFonts w:asciiTheme="minorHAnsi" w:hAnsiTheme="minorHAnsi" w:cstheme="minorHAnsi"/>
                <w:sz w:val="22"/>
                <w:szCs w:val="22"/>
              </w:rPr>
              <w:t>support the engagement of volunteers, particularly at the local level</w:t>
            </w:r>
            <w:r>
              <w:rPr>
                <w:rFonts w:asciiTheme="minorHAnsi" w:hAnsiTheme="minorHAnsi" w:cstheme="minorHAnsi"/>
                <w:sz w:val="22"/>
                <w:szCs w:val="22"/>
              </w:rPr>
              <w:t>, into activities of civil society</w:t>
            </w:r>
            <w:r w:rsidR="00061E2D">
              <w:rPr>
                <w:rFonts w:asciiTheme="minorHAnsi" w:hAnsiTheme="minorHAnsi" w:cstheme="minorHAnsi"/>
                <w:sz w:val="22"/>
                <w:szCs w:val="22"/>
              </w:rPr>
              <w:t xml:space="preserve"> groups</w:t>
            </w:r>
            <w:r w:rsidRPr="00347612">
              <w:rPr>
                <w:rFonts w:asciiTheme="minorHAnsi" w:hAnsiTheme="minorHAnsi" w:cstheme="minorHAnsi"/>
                <w:sz w:val="22"/>
                <w:szCs w:val="22"/>
              </w:rPr>
              <w:t xml:space="preserve">. UNDP hosted a conference on "Philanthropy and Volunteering in Action: Saving, Reconciling and Building Future" with over 300 civil society actors on how to foster a culture of volunteerism in Ukraine. This led to a report on “Volunteering in Ukraine” and specific recommendations on improving legislation for volunteering and developing frameworks for volunteer movements. A main focus of these recommendations was on peace building and reconciliation actions in the conflict affected areas. </w:t>
            </w:r>
          </w:p>
          <w:p w14:paraId="2A9E1934" w14:textId="77777777" w:rsidR="00B53557" w:rsidRDefault="00B53557" w:rsidP="00B53557">
            <w:pPr>
              <w:jc w:val="both"/>
              <w:rPr>
                <w:rFonts w:asciiTheme="minorHAnsi" w:hAnsiTheme="minorHAnsi" w:cstheme="minorHAnsi"/>
                <w:sz w:val="22"/>
                <w:szCs w:val="22"/>
              </w:rPr>
            </w:pPr>
          </w:p>
          <w:p w14:paraId="20AD5472" w14:textId="77777777" w:rsidR="00B53557" w:rsidRPr="00347612" w:rsidRDefault="00B53557" w:rsidP="00B53557">
            <w:pPr>
              <w:jc w:val="both"/>
              <w:rPr>
                <w:rFonts w:asciiTheme="minorHAnsi" w:hAnsiTheme="minorHAnsi" w:cstheme="minorHAnsi"/>
                <w:sz w:val="22"/>
                <w:szCs w:val="22"/>
                <w:u w:val="single"/>
              </w:rPr>
            </w:pPr>
            <w:r w:rsidRPr="00347612">
              <w:rPr>
                <w:rFonts w:asciiTheme="minorHAnsi" w:hAnsiTheme="minorHAnsi" w:cstheme="minorHAnsi"/>
                <w:sz w:val="22"/>
                <w:szCs w:val="22"/>
                <w:u w:val="single"/>
              </w:rPr>
              <w:t xml:space="preserve">Enhancing civil society development policy </w:t>
            </w:r>
          </w:p>
          <w:p w14:paraId="348D4F5D" w14:textId="77777777" w:rsidR="00B53557" w:rsidRPr="00347612" w:rsidRDefault="00B53557" w:rsidP="00B53557">
            <w:pPr>
              <w:jc w:val="both"/>
              <w:rPr>
                <w:rFonts w:asciiTheme="minorHAnsi" w:hAnsiTheme="minorHAnsi" w:cstheme="minorHAnsi"/>
                <w:sz w:val="22"/>
                <w:szCs w:val="22"/>
              </w:rPr>
            </w:pPr>
          </w:p>
          <w:p w14:paraId="76FEFFFD" w14:textId="26F0CC75" w:rsidR="00B53557" w:rsidRDefault="00B53557" w:rsidP="00B53557">
            <w:pPr>
              <w:pStyle w:val="NoSpacing"/>
              <w:jc w:val="both"/>
              <w:rPr>
                <w:rFonts w:cstheme="minorHAnsi"/>
                <w:shd w:val="clear" w:color="auto" w:fill="FFFFFF"/>
                <w:lang w:val="en-GB"/>
              </w:rPr>
            </w:pPr>
            <w:r w:rsidRPr="00043659">
              <w:rPr>
                <w:rFonts w:cstheme="minorHAnsi"/>
                <w:shd w:val="clear" w:color="auto" w:fill="FFFFFF"/>
                <w:lang w:val="en-GB"/>
              </w:rPr>
              <w:t xml:space="preserve">In </w:t>
            </w:r>
            <w:r>
              <w:rPr>
                <w:rFonts w:cstheme="minorHAnsi"/>
                <w:shd w:val="clear" w:color="auto" w:fill="FFFFFF"/>
                <w:lang w:val="en-GB"/>
              </w:rPr>
              <w:t>early</w:t>
            </w:r>
            <w:r w:rsidRPr="00043659">
              <w:rPr>
                <w:rFonts w:cstheme="minorHAnsi"/>
                <w:shd w:val="clear" w:color="auto" w:fill="FFFFFF"/>
                <w:lang w:val="en-GB"/>
              </w:rPr>
              <w:t xml:space="preserve"> 2016</w:t>
            </w:r>
            <w:r>
              <w:rPr>
                <w:rFonts w:cstheme="minorHAnsi"/>
                <w:shd w:val="clear" w:color="auto" w:fill="FFFFFF"/>
                <w:lang w:val="en-GB"/>
              </w:rPr>
              <w:t>,</w:t>
            </w:r>
            <w:r w:rsidRPr="00043659">
              <w:rPr>
                <w:rFonts w:cstheme="minorHAnsi"/>
                <w:shd w:val="clear" w:color="auto" w:fill="FFFFFF"/>
                <w:lang w:val="en-GB"/>
              </w:rPr>
              <w:t xml:space="preserve"> the </w:t>
            </w:r>
            <w:r>
              <w:rPr>
                <w:rFonts w:cstheme="minorHAnsi"/>
                <w:shd w:val="clear" w:color="auto" w:fill="FFFFFF"/>
                <w:lang w:val="en-GB"/>
              </w:rPr>
              <w:t>DHRP-supported</w:t>
            </w:r>
            <w:r w:rsidRPr="00043659">
              <w:rPr>
                <w:rFonts w:cstheme="minorHAnsi"/>
                <w:shd w:val="clear" w:color="auto" w:fill="FFFFFF"/>
                <w:lang w:val="en-GB"/>
              </w:rPr>
              <w:t xml:space="preserve"> </w:t>
            </w:r>
            <w:hyperlink r:id="rId28" w:history="1">
              <w:r w:rsidRPr="00043659">
                <w:rPr>
                  <w:rStyle w:val="Hyperlink"/>
                  <w:rFonts w:cstheme="minorHAnsi"/>
                  <w:shd w:val="clear" w:color="auto" w:fill="FFFFFF"/>
                  <w:lang w:val="en-GB"/>
                </w:rPr>
                <w:t>study</w:t>
              </w:r>
            </w:hyperlink>
            <w:r w:rsidRPr="00043659">
              <w:rPr>
                <w:rFonts w:cstheme="minorHAnsi"/>
                <w:shd w:val="clear" w:color="auto" w:fill="FFFFFF"/>
                <w:lang w:val="en-GB"/>
              </w:rPr>
              <w:t xml:space="preserve"> “Defining Civil Society in Ukraine” </w:t>
            </w:r>
            <w:r>
              <w:rPr>
                <w:rFonts w:cstheme="minorHAnsi"/>
                <w:shd w:val="clear" w:color="auto" w:fill="FFFFFF"/>
                <w:lang w:val="en-GB"/>
              </w:rPr>
              <w:t>was launched by CCC – one of the major think tanks on civil society development</w:t>
            </w:r>
            <w:r w:rsidRPr="00043659">
              <w:rPr>
                <w:rFonts w:cstheme="minorHAnsi"/>
                <w:lang w:val="en-GB"/>
              </w:rPr>
              <w:t>. T</w:t>
            </w:r>
            <w:r w:rsidRPr="00043659">
              <w:rPr>
                <w:rFonts w:cstheme="minorHAnsi"/>
                <w:shd w:val="clear" w:color="auto" w:fill="FFFFFF"/>
                <w:lang w:val="en-GB"/>
              </w:rPr>
              <w:t>his study defines civil society in the Ukrainian context, specif</w:t>
            </w:r>
            <w:r w:rsidR="00061E2D">
              <w:rPr>
                <w:rFonts w:cstheme="minorHAnsi"/>
                <w:shd w:val="clear" w:color="auto" w:fill="FFFFFF"/>
                <w:lang w:val="en-GB"/>
              </w:rPr>
              <w:t>ying</w:t>
            </w:r>
            <w:r w:rsidRPr="00043659">
              <w:rPr>
                <w:rFonts w:cstheme="minorHAnsi"/>
                <w:shd w:val="clear" w:color="auto" w:fill="FFFFFF"/>
                <w:lang w:val="en-GB"/>
              </w:rPr>
              <w:t xml:space="preserve"> the term</w:t>
            </w:r>
            <w:r w:rsidR="00061E2D">
              <w:rPr>
                <w:rFonts w:cstheme="minorHAnsi"/>
                <w:shd w:val="clear" w:color="auto" w:fill="FFFFFF"/>
                <w:lang w:val="en-GB"/>
              </w:rPr>
              <w:t>s</w:t>
            </w:r>
            <w:r w:rsidRPr="00043659">
              <w:rPr>
                <w:rFonts w:cstheme="minorHAnsi"/>
                <w:shd w:val="clear" w:color="auto" w:fill="FFFFFF"/>
                <w:lang w:val="en-GB"/>
              </w:rPr>
              <w:t xml:space="preserve"> and attributes of a civil society organization</w:t>
            </w:r>
            <w:r w:rsidR="00061E2D">
              <w:rPr>
                <w:rFonts w:cstheme="minorHAnsi"/>
                <w:shd w:val="clear" w:color="auto" w:fill="FFFFFF"/>
                <w:lang w:val="en-GB"/>
              </w:rPr>
              <w:t>. It</w:t>
            </w:r>
            <w:r w:rsidRPr="00043659">
              <w:rPr>
                <w:rFonts w:cstheme="minorHAnsi"/>
                <w:shd w:val="clear" w:color="auto" w:fill="FFFFFF"/>
                <w:lang w:val="en-GB"/>
              </w:rPr>
              <w:t xml:space="preserve"> lists</w:t>
            </w:r>
            <w:r w:rsidR="00061E2D">
              <w:rPr>
                <w:rFonts w:cstheme="minorHAnsi"/>
                <w:shd w:val="clear" w:color="auto" w:fill="FFFFFF"/>
                <w:lang w:val="en-GB"/>
              </w:rPr>
              <w:t xml:space="preserve"> the</w:t>
            </w:r>
            <w:r w:rsidRPr="00043659">
              <w:rPr>
                <w:rFonts w:cstheme="minorHAnsi"/>
                <w:shd w:val="clear" w:color="auto" w:fill="FFFFFF"/>
                <w:lang w:val="en-GB"/>
              </w:rPr>
              <w:t xml:space="preserve"> types of </w:t>
            </w:r>
            <w:r w:rsidR="00061E2D">
              <w:rPr>
                <w:rFonts w:cstheme="minorHAnsi"/>
                <w:shd w:val="clear" w:color="auto" w:fill="FFFFFF"/>
                <w:lang w:val="en-GB"/>
              </w:rPr>
              <w:t>entities</w:t>
            </w:r>
            <w:r w:rsidR="00061E2D" w:rsidRPr="00043659">
              <w:rPr>
                <w:rFonts w:cstheme="minorHAnsi"/>
                <w:shd w:val="clear" w:color="auto" w:fill="FFFFFF"/>
                <w:lang w:val="en-GB"/>
              </w:rPr>
              <w:t xml:space="preserve"> </w:t>
            </w:r>
            <w:r w:rsidRPr="00043659">
              <w:rPr>
                <w:rFonts w:cstheme="minorHAnsi"/>
                <w:shd w:val="clear" w:color="auto" w:fill="FFFFFF"/>
                <w:lang w:val="en-GB"/>
              </w:rPr>
              <w:t xml:space="preserve">that qualify as civil society organizations, and identifies obstacles and needs these organizations have in terms of their development and growth. The key conclusions of the study </w:t>
            </w:r>
            <w:r>
              <w:rPr>
                <w:rFonts w:cstheme="minorHAnsi"/>
                <w:shd w:val="clear" w:color="auto" w:fill="FFFFFF"/>
                <w:lang w:val="en-GB"/>
              </w:rPr>
              <w:t xml:space="preserve">informed </w:t>
            </w:r>
            <w:r w:rsidRPr="00043659">
              <w:rPr>
                <w:rFonts w:cstheme="minorHAnsi"/>
                <w:shd w:val="clear" w:color="auto" w:fill="FFFFFF"/>
                <w:lang w:val="en-GB"/>
              </w:rPr>
              <w:t xml:space="preserve">the National Strategy for Civil Society Development in Ukraine </w:t>
            </w:r>
            <w:r>
              <w:rPr>
                <w:rFonts w:cstheme="minorHAnsi"/>
                <w:shd w:val="clear" w:color="auto" w:fill="FFFFFF"/>
                <w:lang w:val="en-GB"/>
              </w:rPr>
              <w:t>approved by the President in February 2016</w:t>
            </w:r>
            <w:r w:rsidRPr="00043659">
              <w:rPr>
                <w:rFonts w:cstheme="minorHAnsi"/>
                <w:shd w:val="clear" w:color="auto" w:fill="FFFFFF"/>
                <w:lang w:val="en-GB"/>
              </w:rPr>
              <w:t>.</w:t>
            </w:r>
            <w:r w:rsidR="00B22CDE">
              <w:rPr>
                <w:rFonts w:cstheme="minorHAnsi"/>
                <w:shd w:val="clear" w:color="auto" w:fill="FFFFFF"/>
                <w:lang w:val="en-GB"/>
              </w:rPr>
              <w:t xml:space="preserve"> See the brief summary of the results of the study in the Annex 3. </w:t>
            </w:r>
          </w:p>
          <w:p w14:paraId="2FAF8BEA" w14:textId="5A37DCF5" w:rsidR="00B53557" w:rsidRPr="00043659" w:rsidRDefault="00B53557" w:rsidP="00B53557">
            <w:pPr>
              <w:jc w:val="both"/>
              <w:rPr>
                <w:rFonts w:asciiTheme="minorHAnsi" w:hAnsiTheme="minorHAnsi" w:cstheme="minorHAnsi"/>
                <w:sz w:val="22"/>
                <w:szCs w:val="22"/>
              </w:rPr>
            </w:pPr>
          </w:p>
          <w:p w14:paraId="7C976559" w14:textId="0C844CC9" w:rsidR="00B53557" w:rsidRDefault="00B53557" w:rsidP="00B53557">
            <w:pPr>
              <w:jc w:val="both"/>
              <w:rPr>
                <w:rFonts w:asciiTheme="minorHAnsi" w:hAnsiTheme="minorHAnsi" w:cstheme="minorHAnsi"/>
                <w:sz w:val="22"/>
                <w:szCs w:val="22"/>
                <w:shd w:val="clear" w:color="auto" w:fill="FFFFFF" w:themeFill="background1"/>
              </w:rPr>
            </w:pPr>
            <w:r>
              <w:rPr>
                <w:rFonts w:asciiTheme="minorHAnsi" w:hAnsiTheme="minorHAnsi" w:cstheme="minorHAnsi"/>
                <w:sz w:val="22"/>
                <w:szCs w:val="22"/>
              </w:rPr>
              <w:t xml:space="preserve">To speed up the implementation of the National Strategy at </w:t>
            </w:r>
            <w:r w:rsidR="00061E2D">
              <w:rPr>
                <w:rFonts w:asciiTheme="minorHAnsi" w:hAnsiTheme="minorHAnsi" w:cstheme="minorHAnsi"/>
                <w:sz w:val="22"/>
                <w:szCs w:val="22"/>
              </w:rPr>
              <w:t>a</w:t>
            </w:r>
            <w:r>
              <w:rPr>
                <w:rFonts w:asciiTheme="minorHAnsi" w:hAnsiTheme="minorHAnsi" w:cstheme="minorHAnsi"/>
                <w:sz w:val="22"/>
                <w:szCs w:val="22"/>
              </w:rPr>
              <w:t xml:space="preserve"> regional level, DHRP together with its CSO hubs </w:t>
            </w:r>
            <w:r w:rsidRPr="00157B47">
              <w:rPr>
                <w:rFonts w:asciiTheme="minorHAnsi" w:hAnsiTheme="minorHAnsi" w:cstheme="minorHAnsi"/>
                <w:sz w:val="22"/>
                <w:szCs w:val="22"/>
              </w:rPr>
              <w:t xml:space="preserve">in Kherson, Dnipro, Zakarpattia, and Donetsk </w:t>
            </w:r>
            <w:r>
              <w:rPr>
                <w:rFonts w:asciiTheme="minorHAnsi" w:hAnsiTheme="minorHAnsi" w:cstheme="minorHAnsi"/>
                <w:sz w:val="22"/>
                <w:szCs w:val="22"/>
              </w:rPr>
              <w:t>oblasts implemented 4 pilot projects</w:t>
            </w:r>
            <w:r w:rsidR="00061E2D">
              <w:rPr>
                <w:rFonts w:asciiTheme="minorHAnsi" w:hAnsiTheme="minorHAnsi" w:cstheme="minorHAnsi"/>
                <w:sz w:val="22"/>
                <w:szCs w:val="22"/>
              </w:rPr>
              <w:t xml:space="preserve">, using an entirely </w:t>
            </w:r>
            <w:r>
              <w:rPr>
                <w:rFonts w:asciiTheme="minorHAnsi" w:hAnsiTheme="minorHAnsi" w:cstheme="minorHAnsi"/>
                <w:sz w:val="22"/>
                <w:szCs w:val="22"/>
              </w:rPr>
              <w:t>participatory process of developing regional programmes for civil society development</w:t>
            </w:r>
            <w:r w:rsidR="00061E2D">
              <w:rPr>
                <w:rFonts w:asciiTheme="minorHAnsi" w:hAnsiTheme="minorHAnsi" w:cstheme="minorHAnsi"/>
                <w:sz w:val="22"/>
                <w:szCs w:val="22"/>
              </w:rPr>
              <w:t>. The process</w:t>
            </w:r>
            <w:r>
              <w:rPr>
                <w:rFonts w:asciiTheme="minorHAnsi" w:hAnsiTheme="minorHAnsi" w:cstheme="minorHAnsi"/>
                <w:sz w:val="22"/>
                <w:szCs w:val="22"/>
              </w:rPr>
              <w:t xml:space="preserve"> involv</w:t>
            </w:r>
            <w:r w:rsidR="00061E2D">
              <w:rPr>
                <w:rFonts w:asciiTheme="minorHAnsi" w:hAnsiTheme="minorHAnsi" w:cstheme="minorHAnsi"/>
                <w:sz w:val="22"/>
                <w:szCs w:val="22"/>
              </w:rPr>
              <w:t>es</w:t>
            </w:r>
            <w:r>
              <w:rPr>
                <w:rFonts w:asciiTheme="minorHAnsi" w:hAnsiTheme="minorHAnsi" w:cstheme="minorHAnsi"/>
                <w:sz w:val="22"/>
                <w:szCs w:val="22"/>
              </w:rPr>
              <w:t xml:space="preserve"> over 1,300 CSO representatives, local government officials</w:t>
            </w:r>
            <w:r w:rsidR="00061E2D">
              <w:rPr>
                <w:rFonts w:asciiTheme="minorHAnsi" w:hAnsiTheme="minorHAnsi" w:cstheme="minorHAnsi"/>
                <w:sz w:val="22"/>
                <w:szCs w:val="22"/>
              </w:rPr>
              <w:t>,</w:t>
            </w:r>
            <w:r>
              <w:rPr>
                <w:rFonts w:asciiTheme="minorHAnsi" w:hAnsiTheme="minorHAnsi" w:cstheme="minorHAnsi"/>
                <w:sz w:val="22"/>
                <w:szCs w:val="22"/>
              </w:rPr>
              <w:t xml:space="preserve"> and activists. </w:t>
            </w:r>
            <w:r w:rsidRPr="0072492C">
              <w:rPr>
                <w:rFonts w:asciiTheme="minorHAnsi" w:hAnsiTheme="minorHAnsi" w:cstheme="minorHAnsi"/>
                <w:sz w:val="22"/>
                <w:szCs w:val="22"/>
                <w:shd w:val="clear" w:color="auto" w:fill="FFFFFF" w:themeFill="background1"/>
              </w:rPr>
              <w:t>In close cooperation with DHRP-supported hubs</w:t>
            </w:r>
            <w:r w:rsidR="00061E2D">
              <w:rPr>
                <w:rFonts w:asciiTheme="minorHAnsi" w:hAnsiTheme="minorHAnsi" w:cstheme="minorHAnsi"/>
                <w:sz w:val="22"/>
                <w:szCs w:val="22"/>
                <w:shd w:val="clear" w:color="auto" w:fill="FFFFFF" w:themeFill="background1"/>
              </w:rPr>
              <w:t>,</w:t>
            </w:r>
            <w:r w:rsidRPr="0072492C">
              <w:rPr>
                <w:rFonts w:asciiTheme="minorHAnsi" w:hAnsiTheme="minorHAnsi" w:cstheme="minorHAnsi"/>
                <w:sz w:val="22"/>
                <w:szCs w:val="22"/>
                <w:shd w:val="clear" w:color="auto" w:fill="FFFFFF" w:themeFill="background1"/>
              </w:rPr>
              <w:t xml:space="preserve"> and local administrations, three Coordination Councils </w:t>
            </w:r>
            <w:r w:rsidR="00061E2D">
              <w:rPr>
                <w:rFonts w:asciiTheme="minorHAnsi" w:hAnsiTheme="minorHAnsi" w:cstheme="minorHAnsi"/>
                <w:sz w:val="22"/>
                <w:szCs w:val="22"/>
                <w:shd w:val="clear" w:color="auto" w:fill="FFFFFF" w:themeFill="background1"/>
              </w:rPr>
              <w:t xml:space="preserve">were </w:t>
            </w:r>
            <w:r w:rsidRPr="0072492C">
              <w:rPr>
                <w:rFonts w:asciiTheme="minorHAnsi" w:hAnsiTheme="minorHAnsi" w:cstheme="minorHAnsi"/>
                <w:sz w:val="22"/>
                <w:szCs w:val="22"/>
                <w:shd w:val="clear" w:color="auto" w:fill="FFFFFF" w:themeFill="background1"/>
              </w:rPr>
              <w:t>develop</w:t>
            </w:r>
            <w:r>
              <w:rPr>
                <w:rFonts w:asciiTheme="minorHAnsi" w:hAnsiTheme="minorHAnsi" w:cstheme="minorHAnsi"/>
                <w:sz w:val="22"/>
                <w:szCs w:val="22"/>
                <w:shd w:val="clear" w:color="auto" w:fill="FFFFFF" w:themeFill="background1"/>
              </w:rPr>
              <w:t>ed</w:t>
            </w:r>
            <w:r w:rsidR="00061E2D">
              <w:rPr>
                <w:rFonts w:asciiTheme="minorHAnsi" w:hAnsiTheme="minorHAnsi" w:cstheme="minorHAnsi"/>
                <w:sz w:val="22"/>
                <w:szCs w:val="22"/>
                <w:shd w:val="clear" w:color="auto" w:fill="FFFFFF" w:themeFill="background1"/>
              </w:rPr>
              <w:t>,</w:t>
            </w:r>
            <w:r w:rsidRPr="0072492C">
              <w:rPr>
                <w:rFonts w:asciiTheme="minorHAnsi" w:hAnsiTheme="minorHAnsi" w:cstheme="minorHAnsi"/>
                <w:sz w:val="22"/>
                <w:szCs w:val="22"/>
                <w:shd w:val="clear" w:color="auto" w:fill="FFFFFF" w:themeFill="background1"/>
              </w:rPr>
              <w:t xml:space="preserve"> and </w:t>
            </w:r>
            <w:r>
              <w:rPr>
                <w:rFonts w:asciiTheme="minorHAnsi" w:hAnsiTheme="minorHAnsi" w:cstheme="minorHAnsi"/>
                <w:sz w:val="22"/>
                <w:szCs w:val="22"/>
                <w:shd w:val="clear" w:color="auto" w:fill="FFFFFF" w:themeFill="background1"/>
              </w:rPr>
              <w:t xml:space="preserve">lobbied for approval of </w:t>
            </w:r>
            <w:r w:rsidRPr="0072492C">
              <w:rPr>
                <w:rFonts w:asciiTheme="minorHAnsi" w:hAnsiTheme="minorHAnsi" w:cstheme="minorHAnsi"/>
                <w:sz w:val="22"/>
                <w:szCs w:val="22"/>
                <w:shd w:val="clear" w:color="auto" w:fill="FFFFFF" w:themeFill="background1"/>
              </w:rPr>
              <w:t>the regional programmes. Regional programmes for civil society development were developed in 4 regions</w:t>
            </w:r>
            <w:r>
              <w:rPr>
                <w:rFonts w:asciiTheme="minorHAnsi" w:hAnsiTheme="minorHAnsi" w:cstheme="minorHAnsi"/>
                <w:sz w:val="22"/>
                <w:szCs w:val="22"/>
                <w:shd w:val="clear" w:color="auto" w:fill="FFFFFF" w:themeFill="background1"/>
              </w:rPr>
              <w:t xml:space="preserve"> (3 of them were adopted).</w:t>
            </w:r>
          </w:p>
          <w:p w14:paraId="7B1A0029" w14:textId="77777777" w:rsidR="00B53557" w:rsidRDefault="00B53557" w:rsidP="00B53557">
            <w:pPr>
              <w:jc w:val="both"/>
              <w:rPr>
                <w:rFonts w:asciiTheme="minorHAnsi" w:hAnsiTheme="minorHAnsi" w:cstheme="minorHAnsi"/>
                <w:sz w:val="22"/>
                <w:szCs w:val="22"/>
                <w:shd w:val="clear" w:color="auto" w:fill="FFFFFF" w:themeFill="background1"/>
              </w:rPr>
            </w:pPr>
          </w:p>
          <w:p w14:paraId="7DDFF929" w14:textId="4A8274DD" w:rsidR="00B53557" w:rsidRDefault="00B53557" w:rsidP="00B53557">
            <w:pPr>
              <w:jc w:val="both"/>
              <w:rPr>
                <w:rFonts w:asciiTheme="minorHAnsi" w:hAnsiTheme="minorHAnsi" w:cstheme="minorHAnsi"/>
                <w:sz w:val="22"/>
                <w:szCs w:val="22"/>
                <w:lang w:val="en-US"/>
              </w:rPr>
            </w:pPr>
            <w:r>
              <w:rPr>
                <w:rFonts w:asciiTheme="minorHAnsi" w:hAnsiTheme="minorHAnsi" w:cstheme="minorHAnsi"/>
                <w:sz w:val="22"/>
                <w:szCs w:val="22"/>
                <w:lang w:val="en-US"/>
              </w:rPr>
              <w:t>During the years of Project implementation, DHRP has been supporting a very important and unique national platform for discussing key standards and practices in the area of civil society organizational development – Civil Society Development Forum (organized by ISAR Ednannya since 2012). Every year DHRP would use this opportunity to share good practices in organizational development and showcase stories of successful DHRP initiatives (e.g. anti-corruption, Open Government Partnership implementation plan, tips for effective organizational development</w:t>
            </w:r>
            <w:r w:rsidR="00061E2D">
              <w:rPr>
                <w:rFonts w:asciiTheme="minorHAnsi" w:hAnsiTheme="minorHAnsi" w:cstheme="minorHAnsi"/>
                <w:sz w:val="22"/>
                <w:szCs w:val="22"/>
                <w:lang w:val="en-US"/>
              </w:rPr>
              <w:t>,</w:t>
            </w:r>
            <w:r>
              <w:rPr>
                <w:rFonts w:asciiTheme="minorHAnsi" w:hAnsiTheme="minorHAnsi" w:cstheme="minorHAnsi"/>
                <w:sz w:val="22"/>
                <w:szCs w:val="22"/>
                <w:lang w:val="en-US"/>
              </w:rPr>
              <w:t xml:space="preserve"> etc.). The Forum is the key event for building stronger partnership and knowledge exchange between CSOs in Ukraine. </w:t>
            </w:r>
          </w:p>
          <w:p w14:paraId="416029BD" w14:textId="77777777" w:rsidR="00B53557" w:rsidRDefault="00B53557" w:rsidP="00B53557">
            <w:pPr>
              <w:jc w:val="both"/>
              <w:rPr>
                <w:rFonts w:asciiTheme="minorHAnsi" w:hAnsiTheme="minorHAnsi" w:cstheme="minorHAnsi"/>
                <w:sz w:val="22"/>
                <w:szCs w:val="22"/>
                <w:lang w:val="en-US"/>
              </w:rPr>
            </w:pPr>
          </w:p>
          <w:p w14:paraId="4F420BF6" w14:textId="50103D51" w:rsidR="00B53557" w:rsidRDefault="00B53557" w:rsidP="00B53557">
            <w:pPr>
              <w:jc w:val="both"/>
              <w:rPr>
                <w:rFonts w:asciiTheme="minorHAnsi" w:hAnsiTheme="minorHAnsi" w:cstheme="minorHAnsi"/>
                <w:sz w:val="22"/>
                <w:szCs w:val="22"/>
              </w:rPr>
            </w:pPr>
            <w:r>
              <w:rPr>
                <w:rFonts w:asciiTheme="minorHAnsi" w:hAnsiTheme="minorHAnsi" w:cstheme="minorHAnsi"/>
                <w:sz w:val="22"/>
                <w:szCs w:val="22"/>
              </w:rPr>
              <w:t xml:space="preserve">In 2016, the </w:t>
            </w:r>
            <w:r w:rsidRPr="008C6F1D">
              <w:rPr>
                <w:rFonts w:asciiTheme="minorHAnsi" w:hAnsiTheme="minorHAnsi" w:cstheme="minorHAnsi"/>
                <w:sz w:val="22"/>
                <w:szCs w:val="22"/>
              </w:rPr>
              <w:t xml:space="preserve">5th </w:t>
            </w:r>
            <w:hyperlink r:id="rId29" w:history="1">
              <w:r w:rsidRPr="006176A6">
                <w:rPr>
                  <w:rStyle w:val="Hyperlink"/>
                  <w:rFonts w:asciiTheme="minorHAnsi" w:hAnsiTheme="minorHAnsi" w:cstheme="minorHAnsi"/>
                  <w:sz w:val="22"/>
                  <w:szCs w:val="22"/>
                </w:rPr>
                <w:t>Civil Society Development Forum</w:t>
              </w:r>
            </w:hyperlink>
            <w:r w:rsidRPr="008C6F1D">
              <w:rPr>
                <w:rFonts w:asciiTheme="minorHAnsi" w:hAnsiTheme="minorHAnsi" w:cstheme="minorHAnsi"/>
                <w:sz w:val="22"/>
                <w:szCs w:val="22"/>
              </w:rPr>
              <w:t xml:space="preserve"> brought together over 1,200 Ukrainian civil society professionals to promote best practices that ensure the development of adequate skills and organizational capacities to ultimately enable civil society to effectively move the reform process forward in Ukraine.</w:t>
            </w:r>
            <w:r>
              <w:rPr>
                <w:rFonts w:asciiTheme="minorHAnsi" w:hAnsiTheme="minorHAnsi" w:cstheme="minorHAnsi"/>
                <w:sz w:val="22"/>
                <w:szCs w:val="22"/>
              </w:rPr>
              <w:t xml:space="preserve"> As </w:t>
            </w:r>
            <w:r w:rsidR="00247162">
              <w:rPr>
                <w:rFonts w:asciiTheme="minorHAnsi" w:hAnsiTheme="minorHAnsi" w:cstheme="minorHAnsi"/>
                <w:sz w:val="22"/>
                <w:szCs w:val="22"/>
              </w:rPr>
              <w:t xml:space="preserve">a </w:t>
            </w:r>
            <w:r>
              <w:rPr>
                <w:rFonts w:asciiTheme="minorHAnsi" w:hAnsiTheme="minorHAnsi" w:cstheme="minorHAnsi"/>
                <w:sz w:val="22"/>
                <w:szCs w:val="22"/>
              </w:rPr>
              <w:t>result of the forum, civil society representatives developed the “Civil society TO-DO list”</w:t>
            </w:r>
            <w:r w:rsidR="00247162">
              <w:rPr>
                <w:rFonts w:asciiTheme="minorHAnsi" w:hAnsiTheme="minorHAnsi" w:cstheme="minorHAnsi"/>
                <w:sz w:val="22"/>
                <w:szCs w:val="22"/>
              </w:rPr>
              <w:t>,</w:t>
            </w:r>
            <w:r>
              <w:rPr>
                <w:rFonts w:asciiTheme="minorHAnsi" w:hAnsiTheme="minorHAnsi" w:cstheme="minorHAnsi"/>
                <w:sz w:val="22"/>
                <w:szCs w:val="22"/>
              </w:rPr>
              <w:t xml:space="preserve"> defining key priorities for their planning to inform efforts on supporting the reform agenda in Ukraine. The list includes the following agenda which was identified by participating CSOs as priority directions for further engagement:</w:t>
            </w:r>
          </w:p>
          <w:p w14:paraId="11D61FF7" w14:textId="00CE47E4" w:rsidR="00B53557" w:rsidRDefault="00B53557" w:rsidP="00B53557">
            <w:pPr>
              <w:jc w:val="both"/>
              <w:rPr>
                <w:rFonts w:asciiTheme="minorHAnsi" w:hAnsiTheme="minorHAnsi" w:cstheme="minorHAnsi"/>
                <w:sz w:val="22"/>
                <w:szCs w:val="22"/>
              </w:rPr>
            </w:pPr>
          </w:p>
          <w:p w14:paraId="535822AB"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Promote rule of law, freedom, democracy, basic human rights, social solidarity and respect for human dignity as a set of values that serves as a benchmark for the entire society in Ukraine;</w:t>
            </w:r>
          </w:p>
          <w:p w14:paraId="46C1CFB3"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Invest time and energy in building stable institutions that work based on democratic procedures, accountability, and transparency;</w:t>
            </w:r>
          </w:p>
          <w:p w14:paraId="5DB48D0F" w14:textId="1A0D1FC0"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 xml:space="preserve">Ensure </w:t>
            </w:r>
            <w:r w:rsidR="00247162">
              <w:rPr>
                <w:rFonts w:asciiTheme="minorHAnsi" w:hAnsiTheme="minorHAnsi" w:cstheme="minorHAnsi"/>
                <w:sz w:val="22"/>
                <w:szCs w:val="22"/>
              </w:rPr>
              <w:t xml:space="preserve">the </w:t>
            </w:r>
            <w:r w:rsidRPr="00917F05">
              <w:rPr>
                <w:rFonts w:asciiTheme="minorHAnsi" w:hAnsiTheme="minorHAnsi" w:cstheme="minorHAnsi"/>
                <w:sz w:val="22"/>
                <w:szCs w:val="22"/>
              </w:rPr>
              <w:t>sustainability of civil society initiatives by increasing social capital, involving a wide range of supporters and volunteers, and building a broad range of fundraising strategies;</w:t>
            </w:r>
          </w:p>
          <w:p w14:paraId="79C1881B"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Create networks and coalitions to unite efforts and experiences;</w:t>
            </w:r>
          </w:p>
          <w:p w14:paraId="563D99DB"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Continue to shape the reform agenda of the state</w:t>
            </w:r>
            <w:r w:rsidRPr="00B57078">
              <w:rPr>
                <w:rFonts w:asciiTheme="minorHAnsi" w:hAnsiTheme="minorHAnsi" w:cstheme="minorHAnsi"/>
                <w:sz w:val="22"/>
                <w:szCs w:val="22"/>
              </w:rPr>
              <w:t xml:space="preserve">, </w:t>
            </w:r>
            <w:r w:rsidRPr="00917F05">
              <w:rPr>
                <w:rFonts w:asciiTheme="minorHAnsi" w:hAnsiTheme="minorHAnsi" w:cstheme="minorHAnsi"/>
                <w:sz w:val="22"/>
                <w:szCs w:val="22"/>
              </w:rPr>
              <w:t>strengthen civil society's influence at all stages of the reform process</w:t>
            </w:r>
            <w:r>
              <w:rPr>
                <w:rFonts w:asciiTheme="minorHAnsi" w:hAnsiTheme="minorHAnsi" w:cstheme="minorHAnsi"/>
                <w:sz w:val="22"/>
                <w:szCs w:val="22"/>
              </w:rPr>
              <w:t xml:space="preserve"> and tirelessly </w:t>
            </w:r>
            <w:r w:rsidRPr="00917F05">
              <w:rPr>
                <w:rFonts w:asciiTheme="minorHAnsi" w:hAnsiTheme="minorHAnsi" w:cstheme="minorHAnsi"/>
                <w:sz w:val="22"/>
                <w:szCs w:val="22"/>
              </w:rPr>
              <w:t>increase public participation in decision-making processes;</w:t>
            </w:r>
          </w:p>
          <w:p w14:paraId="0FC6EAC1" w14:textId="0487BBA1"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Fight corruption while remain</w:t>
            </w:r>
            <w:r w:rsidR="00247162">
              <w:rPr>
                <w:rFonts w:asciiTheme="minorHAnsi" w:hAnsiTheme="minorHAnsi" w:cstheme="minorHAnsi"/>
                <w:sz w:val="22"/>
                <w:szCs w:val="22"/>
              </w:rPr>
              <w:t>ing</w:t>
            </w:r>
            <w:r w:rsidRPr="00917F05">
              <w:rPr>
                <w:rFonts w:asciiTheme="minorHAnsi" w:hAnsiTheme="minorHAnsi" w:cstheme="minorHAnsi"/>
                <w:sz w:val="22"/>
                <w:szCs w:val="22"/>
              </w:rPr>
              <w:t xml:space="preserve"> a crucial player on this field</w:t>
            </w:r>
            <w:r>
              <w:rPr>
                <w:rFonts w:asciiTheme="minorHAnsi" w:hAnsiTheme="minorHAnsi" w:cstheme="minorHAnsi"/>
                <w:sz w:val="22"/>
                <w:szCs w:val="22"/>
              </w:rPr>
              <w:t>, us</w:t>
            </w:r>
            <w:r w:rsidR="00247162">
              <w:rPr>
                <w:rFonts w:asciiTheme="minorHAnsi" w:hAnsiTheme="minorHAnsi" w:cstheme="minorHAnsi"/>
                <w:sz w:val="22"/>
                <w:szCs w:val="22"/>
              </w:rPr>
              <w:t>ing</w:t>
            </w:r>
            <w:r>
              <w:rPr>
                <w:rFonts w:asciiTheme="minorHAnsi" w:hAnsiTheme="minorHAnsi" w:cstheme="minorHAnsi"/>
                <w:sz w:val="22"/>
                <w:szCs w:val="22"/>
              </w:rPr>
              <w:t xml:space="preserve"> </w:t>
            </w:r>
            <w:r w:rsidRPr="00917F05">
              <w:rPr>
                <w:rFonts w:asciiTheme="minorHAnsi" w:hAnsiTheme="minorHAnsi" w:cstheme="minorHAnsi"/>
                <w:sz w:val="22"/>
                <w:szCs w:val="22"/>
              </w:rPr>
              <w:t>e-platforms</w:t>
            </w:r>
            <w:r>
              <w:rPr>
                <w:rFonts w:asciiTheme="minorHAnsi" w:hAnsiTheme="minorHAnsi" w:cstheme="minorHAnsi"/>
                <w:sz w:val="22"/>
                <w:szCs w:val="22"/>
              </w:rPr>
              <w:t xml:space="preserve">, capitalise on partnership with </w:t>
            </w:r>
            <w:r w:rsidRPr="00917F05">
              <w:rPr>
                <w:rFonts w:asciiTheme="minorHAnsi" w:hAnsiTheme="minorHAnsi" w:cstheme="minorHAnsi"/>
                <w:sz w:val="22"/>
                <w:szCs w:val="22"/>
              </w:rPr>
              <w:t>independent media in the fight against corruption</w:t>
            </w:r>
            <w:r>
              <w:rPr>
                <w:rFonts w:asciiTheme="minorHAnsi" w:hAnsiTheme="minorHAnsi" w:cstheme="minorHAnsi"/>
                <w:sz w:val="22"/>
                <w:szCs w:val="22"/>
              </w:rPr>
              <w:t>;</w:t>
            </w:r>
          </w:p>
          <w:p w14:paraId="50ACAC83"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Address the causes and consequences of the conflict in eastern Ukraine</w:t>
            </w:r>
            <w:r>
              <w:rPr>
                <w:rFonts w:asciiTheme="minorHAnsi" w:hAnsiTheme="minorHAnsi" w:cstheme="minorHAnsi"/>
                <w:sz w:val="22"/>
                <w:szCs w:val="22"/>
              </w:rPr>
              <w:t xml:space="preserve">, actively </w:t>
            </w:r>
            <w:r w:rsidRPr="00917F05">
              <w:rPr>
                <w:rFonts w:asciiTheme="minorHAnsi" w:hAnsiTheme="minorHAnsi" w:cstheme="minorHAnsi"/>
                <w:sz w:val="22"/>
                <w:szCs w:val="22"/>
              </w:rPr>
              <w:t>promote dialogue, support integration of IDPs in their new host communities, and make use of the "cultural diplomacy". Liaise and assist CSOs in occupied Crimea;</w:t>
            </w:r>
          </w:p>
          <w:p w14:paraId="5506C57A" w14:textId="77777777" w:rsidR="00B53557"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Increase professionalism and expand opportunities for intersectoral collaboration</w:t>
            </w:r>
            <w:r>
              <w:rPr>
                <w:rFonts w:asciiTheme="minorHAnsi" w:hAnsiTheme="minorHAnsi" w:cstheme="minorHAnsi"/>
                <w:sz w:val="22"/>
                <w:szCs w:val="22"/>
              </w:rPr>
              <w:t>;</w:t>
            </w:r>
          </w:p>
          <w:p w14:paraId="534BFFD7" w14:textId="7BF9D328" w:rsidR="00B53557" w:rsidRPr="00917F05" w:rsidRDefault="00B53557" w:rsidP="008962E4">
            <w:pPr>
              <w:pStyle w:val="ListParagraph"/>
              <w:numPr>
                <w:ilvl w:val="1"/>
                <w:numId w:val="21"/>
              </w:numPr>
              <w:jc w:val="both"/>
              <w:rPr>
                <w:rFonts w:asciiTheme="minorHAnsi" w:hAnsiTheme="minorHAnsi" w:cstheme="minorHAnsi"/>
                <w:sz w:val="22"/>
                <w:szCs w:val="22"/>
              </w:rPr>
            </w:pPr>
            <w:r w:rsidRPr="00917F05">
              <w:rPr>
                <w:rFonts w:asciiTheme="minorHAnsi" w:hAnsiTheme="minorHAnsi" w:cstheme="minorHAnsi"/>
                <w:sz w:val="22"/>
                <w:szCs w:val="22"/>
              </w:rPr>
              <w:t>Work with the community and for the community. Promote and advertise new life practices - environmentally conscious behaviour with "zero tolerance" to populism, corruption, and paternalism. Support and develop civic education.</w:t>
            </w:r>
          </w:p>
          <w:p w14:paraId="78FB803E" w14:textId="77777777" w:rsidR="00B53557" w:rsidRDefault="00B53557" w:rsidP="00B53557">
            <w:pPr>
              <w:jc w:val="both"/>
              <w:rPr>
                <w:rFonts w:asciiTheme="minorHAnsi" w:hAnsiTheme="minorHAnsi" w:cs="Arial"/>
                <w:sz w:val="22"/>
                <w:szCs w:val="22"/>
              </w:rPr>
            </w:pPr>
          </w:p>
          <w:p w14:paraId="6A9D6732" w14:textId="66828C71" w:rsidR="00B53557" w:rsidRDefault="00B53557" w:rsidP="00B53557">
            <w:pPr>
              <w:jc w:val="both"/>
              <w:rPr>
                <w:rFonts w:asciiTheme="minorHAnsi" w:hAnsiTheme="minorHAnsi" w:cs="Arial"/>
                <w:sz w:val="22"/>
                <w:szCs w:val="22"/>
              </w:rPr>
            </w:pPr>
            <w:r>
              <w:rPr>
                <w:rFonts w:asciiTheme="minorHAnsi" w:hAnsiTheme="minorHAnsi" w:cs="Arial"/>
                <w:sz w:val="22"/>
                <w:szCs w:val="22"/>
              </w:rPr>
              <w:t xml:space="preserve">Many of these values and work priorities were included into the vision of the follow-up project to DHRP. </w:t>
            </w:r>
          </w:p>
          <w:p w14:paraId="3952A9FC" w14:textId="335007B5" w:rsidR="005C3D3C" w:rsidRDefault="005C3D3C" w:rsidP="00B53557">
            <w:pPr>
              <w:jc w:val="both"/>
              <w:rPr>
                <w:rFonts w:asciiTheme="minorHAnsi" w:hAnsiTheme="minorHAnsi" w:cs="Arial"/>
                <w:sz w:val="22"/>
                <w:szCs w:val="22"/>
              </w:rPr>
            </w:pPr>
          </w:p>
          <w:p w14:paraId="20447875" w14:textId="7F7A4F5C" w:rsidR="005C3D3C" w:rsidRPr="005C3D3C" w:rsidRDefault="005C3D3C" w:rsidP="00B53557">
            <w:pPr>
              <w:jc w:val="both"/>
              <w:rPr>
                <w:rFonts w:asciiTheme="minorHAnsi" w:hAnsiTheme="minorHAnsi" w:cstheme="minorHAnsi"/>
                <w:b/>
                <w:i/>
                <w:sz w:val="22"/>
                <w:szCs w:val="22"/>
                <w:lang w:val="en-US"/>
              </w:rPr>
            </w:pPr>
            <w:r>
              <w:rPr>
                <w:rFonts w:ascii="Calibri" w:hAnsi="Calibri"/>
                <w:sz w:val="22"/>
                <w:szCs w:val="22"/>
                <w:lang w:eastAsia="en-US"/>
              </w:rPr>
              <w:t xml:space="preserve">See more details on the programme achievements </w:t>
            </w:r>
            <w:r>
              <w:rPr>
                <w:rFonts w:ascii="Calibri" w:hAnsi="Calibri"/>
                <w:sz w:val="22"/>
                <w:szCs w:val="22"/>
                <w:lang w:val="en-US" w:eastAsia="en-US"/>
              </w:rPr>
              <w:t xml:space="preserve">on civil society development in </w:t>
            </w:r>
            <w:r>
              <w:rPr>
                <w:rFonts w:asciiTheme="minorHAnsi" w:hAnsiTheme="minorHAnsi" w:cs="Arial"/>
                <w:sz w:val="22"/>
                <w:szCs w:val="22"/>
              </w:rPr>
              <w:t>Annex 1c</w:t>
            </w:r>
            <w:r>
              <w:rPr>
                <w:rFonts w:ascii="Calibri" w:hAnsi="Calibri"/>
                <w:sz w:val="22"/>
                <w:szCs w:val="22"/>
                <w:lang w:val="en-US" w:eastAsia="en-US"/>
              </w:rPr>
              <w:t xml:space="preserve">. </w:t>
            </w:r>
          </w:p>
          <w:p w14:paraId="0FFF02CD" w14:textId="6564E476" w:rsidR="00B53557" w:rsidRPr="001A22D3" w:rsidRDefault="00B53557" w:rsidP="00B53557">
            <w:pPr>
              <w:jc w:val="both"/>
              <w:rPr>
                <w:rFonts w:asciiTheme="minorHAnsi" w:hAnsiTheme="minorHAnsi" w:cs="Arial"/>
                <w:sz w:val="22"/>
                <w:szCs w:val="22"/>
              </w:rPr>
            </w:pPr>
          </w:p>
        </w:tc>
      </w:tr>
      <w:tr w:rsidR="00B53557" w:rsidRPr="001A22D3" w14:paraId="20A74D28" w14:textId="77777777" w:rsidTr="001A2049">
        <w:tblPrEx>
          <w:tblBorders>
            <w:insideH w:val="single" w:sz="4" w:space="0" w:color="auto"/>
            <w:insideV w:val="single" w:sz="4" w:space="0" w:color="auto"/>
          </w:tblBorders>
        </w:tblPrEx>
        <w:trPr>
          <w:gridAfter w:val="2"/>
          <w:wAfter w:w="23" w:type="dxa"/>
          <w:trHeight w:val="701"/>
        </w:trPr>
        <w:tc>
          <w:tcPr>
            <w:tcW w:w="10142" w:type="dxa"/>
            <w:gridSpan w:val="4"/>
          </w:tcPr>
          <w:p w14:paraId="3D2CD138" w14:textId="77777777" w:rsidR="00B53557" w:rsidRPr="001A22D3" w:rsidRDefault="00B53557" w:rsidP="00B53557">
            <w:pPr>
              <w:pStyle w:val="FootnoteText"/>
              <w:widowControl w:val="0"/>
              <w:rPr>
                <w:rFonts w:asciiTheme="minorHAnsi" w:hAnsiTheme="minorHAnsi" w:cs="Arial"/>
                <w:b/>
                <w:bCs/>
                <w:sz w:val="22"/>
                <w:szCs w:val="22"/>
                <w:lang w:val="en-GB"/>
              </w:rPr>
            </w:pPr>
            <w:r w:rsidRPr="001A22D3">
              <w:rPr>
                <w:rFonts w:asciiTheme="minorHAnsi" w:hAnsiTheme="minorHAnsi" w:cs="Arial"/>
                <w:b/>
                <w:bCs/>
                <w:sz w:val="22"/>
                <w:szCs w:val="22"/>
                <w:lang w:val="en-GB"/>
              </w:rPr>
              <w:t xml:space="preserve">11.  Status – programme outputs </w:t>
            </w:r>
          </w:p>
          <w:p w14:paraId="7B631946" w14:textId="77777777" w:rsidR="00B53557" w:rsidRPr="001A22D3" w:rsidRDefault="00B53557" w:rsidP="00B53557">
            <w:pPr>
              <w:pStyle w:val="FootnoteText"/>
              <w:widowControl w:val="0"/>
              <w:rPr>
                <w:rFonts w:asciiTheme="minorHAnsi" w:hAnsiTheme="minorHAnsi" w:cs="Arial"/>
                <w:bCs/>
                <w:i/>
                <w:sz w:val="22"/>
                <w:szCs w:val="22"/>
                <w:lang w:val="en-GB"/>
              </w:rPr>
            </w:pPr>
            <w:r w:rsidRPr="001A22D3">
              <w:rPr>
                <w:rFonts w:asciiTheme="minorHAnsi" w:hAnsiTheme="minorHAnsi" w:cs="Arial"/>
                <w:bCs/>
                <w:i/>
                <w:sz w:val="22"/>
                <w:szCs w:val="22"/>
                <w:lang w:val="en-GB"/>
              </w:rPr>
              <w:t xml:space="preserve">Describe the progress and difficulties in the planned outputs and indicators during the 12 months reporting period (as above – please include the entire programme period). Indicate if an output also has been supported by another international agency. Include quantitative as well as qualitative data. </w:t>
            </w:r>
          </w:p>
          <w:p w14:paraId="23CD7AA8" w14:textId="77777777" w:rsidR="00B53557" w:rsidRPr="001A22D3" w:rsidRDefault="00B53557" w:rsidP="00B53557">
            <w:pPr>
              <w:pStyle w:val="FootnoteText"/>
              <w:widowControl w:val="0"/>
              <w:rPr>
                <w:rFonts w:asciiTheme="minorHAnsi" w:hAnsiTheme="minorHAnsi" w:cs="Arial"/>
                <w:i/>
                <w:sz w:val="22"/>
                <w:szCs w:val="22"/>
                <w:lang w:val="en-GB"/>
              </w:rPr>
            </w:pPr>
            <w:r w:rsidRPr="001A22D3">
              <w:rPr>
                <w:rFonts w:asciiTheme="minorHAnsi" w:hAnsiTheme="minorHAnsi" w:cs="Arial"/>
                <w:i/>
                <w:sz w:val="22"/>
                <w:szCs w:val="22"/>
                <w:lang w:val="en-GB"/>
              </w:rPr>
              <w:t>[1-2 cases per country]</w:t>
            </w:r>
          </w:p>
          <w:p w14:paraId="1CE74BFC" w14:textId="77777777" w:rsidR="00B53557" w:rsidRPr="001A22D3" w:rsidRDefault="00B53557" w:rsidP="00B53557">
            <w:pPr>
              <w:pStyle w:val="FootnoteText"/>
              <w:widowControl w:val="0"/>
              <w:rPr>
                <w:rFonts w:asciiTheme="minorHAnsi" w:hAnsiTheme="minorHAnsi" w:cstheme="minorHAnsi"/>
                <w:sz w:val="22"/>
                <w:szCs w:val="22"/>
                <w:lang w:val="en-GB"/>
              </w:rPr>
            </w:pPr>
          </w:p>
          <w:p w14:paraId="705ACAED" w14:textId="3887154A" w:rsidR="00B53557" w:rsidRDefault="00B53557" w:rsidP="00B53557">
            <w:pPr>
              <w:pStyle w:val="FootnoteText"/>
              <w:widowControl w:val="0"/>
              <w:rPr>
                <w:rFonts w:asciiTheme="minorHAnsi" w:hAnsiTheme="minorHAnsi" w:cstheme="minorHAnsi"/>
                <w:sz w:val="22"/>
                <w:szCs w:val="22"/>
                <w:lang w:val="en-GB"/>
              </w:rPr>
            </w:pPr>
            <w:r w:rsidRPr="001A22D3">
              <w:rPr>
                <w:rFonts w:asciiTheme="minorHAnsi" w:hAnsiTheme="minorHAnsi" w:cstheme="minorHAnsi"/>
                <w:sz w:val="22"/>
                <w:szCs w:val="22"/>
                <w:lang w:val="en-GB"/>
              </w:rPr>
              <w:t>Please refer to Annex B: Status in Logical Framework</w:t>
            </w:r>
          </w:p>
          <w:p w14:paraId="314883DC" w14:textId="45F76FCE" w:rsidR="0072640E" w:rsidRDefault="0072640E" w:rsidP="00B53557">
            <w:pPr>
              <w:pStyle w:val="FootnoteText"/>
              <w:widowControl w:val="0"/>
              <w:rPr>
                <w:rFonts w:asciiTheme="minorHAnsi" w:hAnsiTheme="minorHAnsi" w:cstheme="minorHAnsi"/>
                <w:sz w:val="22"/>
                <w:szCs w:val="22"/>
                <w:lang w:val="en-GB"/>
              </w:rPr>
            </w:pPr>
          </w:p>
          <w:p w14:paraId="4089065B" w14:textId="1D2AEA1E" w:rsidR="0072640E" w:rsidRDefault="0072640E" w:rsidP="0072640E">
            <w:pPr>
              <w:pStyle w:val="FootnoteText"/>
              <w:widowControl w:val="0"/>
              <w:rPr>
                <w:rFonts w:asciiTheme="minorHAnsi" w:hAnsiTheme="minorHAnsi" w:cstheme="minorHAnsi"/>
                <w:sz w:val="22"/>
                <w:szCs w:val="22"/>
                <w:lang w:val="en-US"/>
              </w:rPr>
            </w:pPr>
            <w:r>
              <w:rPr>
                <w:rFonts w:asciiTheme="minorHAnsi" w:hAnsiTheme="minorHAnsi" w:cstheme="minorHAnsi"/>
                <w:sz w:val="22"/>
                <w:szCs w:val="22"/>
                <w:lang w:val="en-GB"/>
              </w:rPr>
              <w:t>The project</w:t>
            </w:r>
            <w:r w:rsidR="00AF34E9">
              <w:rPr>
                <w:rFonts w:asciiTheme="minorHAnsi" w:hAnsiTheme="minorHAnsi" w:cstheme="minorHAnsi"/>
                <w:sz w:val="22"/>
                <w:szCs w:val="22"/>
                <w:lang w:val="en-GB"/>
              </w:rPr>
              <w:t>,</w:t>
            </w:r>
            <w:r>
              <w:rPr>
                <w:rFonts w:asciiTheme="minorHAnsi" w:hAnsiTheme="minorHAnsi" w:cstheme="minorHAnsi"/>
                <w:sz w:val="22"/>
                <w:szCs w:val="22"/>
                <w:lang w:val="en-GB"/>
              </w:rPr>
              <w:t xml:space="preserve"> alongside with the DMFA-funded initiative </w:t>
            </w:r>
            <w:r w:rsidRPr="0072640E">
              <w:rPr>
                <w:rFonts w:asciiTheme="minorHAnsi" w:hAnsiTheme="minorHAnsi" w:cstheme="minorHAnsi"/>
                <w:sz w:val="22"/>
                <w:szCs w:val="22"/>
                <w:lang w:val="en-GB"/>
              </w:rPr>
              <w:t>“</w:t>
            </w:r>
            <w:hyperlink r:id="rId30" w:history="1">
              <w:r w:rsidRPr="0072640E">
                <w:rPr>
                  <w:rFonts w:asciiTheme="minorHAnsi" w:hAnsiTheme="minorHAnsi" w:cstheme="minorHAnsi"/>
                  <w:sz w:val="22"/>
                  <w:szCs w:val="22"/>
                  <w:lang w:val="en-GB"/>
                </w:rPr>
                <w:t>Strengthening Capacities of the Ombudsperson's Office Project</w:t>
              </w:r>
            </w:hyperlink>
            <w:r w:rsidRPr="0072640E">
              <w:rPr>
                <w:rFonts w:asciiTheme="minorHAnsi" w:hAnsiTheme="minorHAnsi" w:cstheme="minorHAnsi"/>
                <w:sz w:val="22"/>
                <w:szCs w:val="22"/>
                <w:lang w:val="en-GB"/>
              </w:rPr>
              <w:t>”</w:t>
            </w:r>
            <w:r w:rsidRPr="00E2030B">
              <w:rPr>
                <w:rFonts w:asciiTheme="minorHAnsi" w:hAnsiTheme="minorHAnsi" w:cstheme="minorHAnsi"/>
                <w:sz w:val="22"/>
                <w:szCs w:val="22"/>
                <w:lang w:val="en-US"/>
              </w:rPr>
              <w:t> </w:t>
            </w:r>
            <w:r>
              <w:rPr>
                <w:rFonts w:asciiTheme="minorHAnsi" w:hAnsiTheme="minorHAnsi" w:cstheme="minorHAnsi"/>
                <w:sz w:val="22"/>
                <w:szCs w:val="22"/>
                <w:lang w:val="en-US"/>
              </w:rPr>
              <w:t xml:space="preserve">contributed to better coordination of stakeholders in the process of Ukraine’s repotting under  international conventions and mechanisms (ICERD, CEDAW, UPR). </w:t>
            </w:r>
          </w:p>
          <w:p w14:paraId="0437B888" w14:textId="68AEDAD2" w:rsidR="00466862" w:rsidRDefault="00466862" w:rsidP="0072640E">
            <w:pPr>
              <w:pStyle w:val="FootnoteText"/>
              <w:widowControl w:val="0"/>
              <w:rPr>
                <w:rFonts w:asciiTheme="minorHAnsi" w:hAnsiTheme="minorHAnsi" w:cstheme="minorHAnsi"/>
                <w:sz w:val="22"/>
                <w:szCs w:val="22"/>
                <w:lang w:val="en-US"/>
              </w:rPr>
            </w:pPr>
          </w:p>
          <w:p w14:paraId="170DAAF2" w14:textId="5366E9E8" w:rsidR="00466862" w:rsidRDefault="00466862" w:rsidP="0072640E">
            <w:pPr>
              <w:pStyle w:val="FootnoteText"/>
              <w:widowControl w:val="0"/>
              <w:rPr>
                <w:rFonts w:asciiTheme="minorHAnsi" w:hAnsiTheme="minorHAnsi" w:cstheme="minorHAnsi"/>
                <w:sz w:val="22"/>
                <w:szCs w:val="22"/>
                <w:lang w:val="en-US"/>
              </w:rPr>
            </w:pPr>
            <w:r>
              <w:rPr>
                <w:rFonts w:asciiTheme="minorHAnsi" w:hAnsiTheme="minorHAnsi" w:cstheme="minorHAnsi"/>
                <w:sz w:val="22"/>
                <w:szCs w:val="22"/>
                <w:lang w:val="en-US"/>
              </w:rPr>
              <w:t xml:space="preserve">In coordination with the </w:t>
            </w:r>
            <w:r w:rsidRPr="00466862">
              <w:rPr>
                <w:rFonts w:asciiTheme="minorHAnsi" w:hAnsiTheme="minorHAnsi" w:cstheme="minorHAnsi"/>
                <w:sz w:val="22"/>
                <w:szCs w:val="22"/>
                <w:lang w:val="en-US"/>
              </w:rPr>
              <w:t>“</w:t>
            </w:r>
            <w:hyperlink r:id="rId31" w:history="1">
              <w:r w:rsidRPr="00466862">
                <w:rPr>
                  <w:rFonts w:asciiTheme="minorHAnsi" w:hAnsiTheme="minorHAnsi" w:cstheme="minorHAnsi"/>
                  <w:sz w:val="22"/>
                  <w:szCs w:val="22"/>
                  <w:lang w:val="en-US"/>
                </w:rPr>
                <w:t>Enhanced Public Sector Transparency and Integrity Programme</w:t>
              </w:r>
            </w:hyperlink>
            <w:r>
              <w:rPr>
                <w:rFonts w:asciiTheme="minorHAnsi" w:hAnsiTheme="minorHAnsi" w:cstheme="minorHAnsi"/>
                <w:sz w:val="22"/>
                <w:szCs w:val="22"/>
                <w:lang w:val="en-US"/>
              </w:rPr>
              <w:t xml:space="preserve">”, the project reached out to their partner CSOs supported under the municipal component of the project to promote application of the human rights based approach to their programme work. </w:t>
            </w:r>
          </w:p>
          <w:p w14:paraId="2E283F73" w14:textId="5916F445" w:rsidR="00F90DD5" w:rsidRDefault="00F90DD5" w:rsidP="0072640E">
            <w:pPr>
              <w:pStyle w:val="FootnoteText"/>
              <w:widowControl w:val="0"/>
              <w:rPr>
                <w:rFonts w:asciiTheme="minorHAnsi" w:hAnsiTheme="minorHAnsi" w:cstheme="minorHAnsi"/>
                <w:sz w:val="22"/>
                <w:szCs w:val="22"/>
                <w:lang w:val="en-US"/>
              </w:rPr>
            </w:pPr>
          </w:p>
          <w:p w14:paraId="60A5DE92" w14:textId="60725C5D" w:rsidR="00F90DD5" w:rsidRPr="00466862" w:rsidRDefault="00F90DD5" w:rsidP="0072640E">
            <w:pPr>
              <w:pStyle w:val="FootnoteText"/>
              <w:widowControl w:val="0"/>
              <w:rPr>
                <w:rFonts w:asciiTheme="minorHAnsi" w:hAnsiTheme="minorHAnsi" w:cstheme="minorHAnsi"/>
                <w:sz w:val="22"/>
                <w:szCs w:val="22"/>
                <w:lang w:val="en-US"/>
              </w:rPr>
            </w:pPr>
            <w:r>
              <w:rPr>
                <w:rFonts w:asciiTheme="minorHAnsi" w:hAnsiTheme="minorHAnsi" w:cstheme="minorHAnsi"/>
                <w:sz w:val="22"/>
                <w:szCs w:val="22"/>
                <w:lang w:val="en-US"/>
              </w:rPr>
              <w:t>For achievements in coordination with the implementing partners in Moldova (EEF) and Belarus (PACT Inc), please refer to the completion report under the Regional Component of the Programme</w:t>
            </w:r>
            <w:r w:rsidR="00236069">
              <w:rPr>
                <w:rFonts w:asciiTheme="minorHAnsi" w:hAnsiTheme="minorHAnsi" w:cstheme="minorHAnsi"/>
                <w:sz w:val="22"/>
                <w:szCs w:val="22"/>
                <w:lang w:val="en-US"/>
              </w:rPr>
              <w:t xml:space="preserve"> </w:t>
            </w:r>
            <w:r w:rsidR="00236069" w:rsidRPr="00F57F96">
              <w:rPr>
                <w:rFonts w:asciiTheme="minorHAnsi" w:hAnsiTheme="minorHAnsi" w:cstheme="minorHAnsi"/>
                <w:sz w:val="22"/>
                <w:szCs w:val="22"/>
                <w:lang w:val="en-US"/>
              </w:rPr>
              <w:t xml:space="preserve">(see Annex </w:t>
            </w:r>
            <w:r w:rsidR="00F57F96" w:rsidRPr="00F57F96">
              <w:rPr>
                <w:rFonts w:asciiTheme="minorHAnsi" w:hAnsiTheme="minorHAnsi" w:cstheme="minorHAnsi"/>
                <w:sz w:val="22"/>
                <w:szCs w:val="22"/>
                <w:lang w:val="en-US"/>
              </w:rPr>
              <w:t>4</w:t>
            </w:r>
            <w:r w:rsidR="00236069" w:rsidRPr="00F57F96">
              <w:rPr>
                <w:rFonts w:asciiTheme="minorHAnsi" w:hAnsiTheme="minorHAnsi" w:cstheme="minorHAnsi"/>
                <w:sz w:val="22"/>
                <w:szCs w:val="22"/>
                <w:lang w:val="en-US"/>
              </w:rPr>
              <w:t>)</w:t>
            </w:r>
            <w:r w:rsidRPr="00F57F96">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
          <w:p w14:paraId="6627D1C5" w14:textId="77777777" w:rsidR="00B53557" w:rsidRPr="001A22D3" w:rsidRDefault="00B53557" w:rsidP="00B53557">
            <w:pPr>
              <w:pStyle w:val="FootnoteText"/>
              <w:widowControl w:val="0"/>
              <w:rPr>
                <w:rFonts w:asciiTheme="minorHAnsi" w:hAnsiTheme="minorHAnsi" w:cs="Arial"/>
                <w:bCs/>
                <w:sz w:val="22"/>
                <w:szCs w:val="22"/>
                <w:lang w:val="en-GB"/>
              </w:rPr>
            </w:pPr>
          </w:p>
        </w:tc>
      </w:tr>
      <w:tr w:rsidR="00B53557" w:rsidRPr="001A22D3" w14:paraId="2B157FF3" w14:textId="77777777" w:rsidTr="001A2049">
        <w:tblPrEx>
          <w:tblBorders>
            <w:insideH w:val="single" w:sz="4" w:space="0" w:color="auto"/>
            <w:insideV w:val="single" w:sz="4" w:space="0" w:color="auto"/>
          </w:tblBorders>
        </w:tblPrEx>
        <w:trPr>
          <w:gridAfter w:val="2"/>
          <w:wAfter w:w="23" w:type="dxa"/>
          <w:trHeight w:val="882"/>
        </w:trPr>
        <w:tc>
          <w:tcPr>
            <w:tcW w:w="10142" w:type="dxa"/>
            <w:gridSpan w:val="4"/>
          </w:tcPr>
          <w:p w14:paraId="4D47C229" w14:textId="77777777" w:rsidR="00B53557" w:rsidRPr="001A22D3" w:rsidRDefault="00B53557" w:rsidP="00B53557">
            <w:pPr>
              <w:widowControl w:val="0"/>
              <w:rPr>
                <w:rFonts w:asciiTheme="minorHAnsi" w:hAnsiTheme="minorHAnsi"/>
                <w:b/>
                <w:i/>
                <w:sz w:val="22"/>
                <w:szCs w:val="22"/>
              </w:rPr>
            </w:pPr>
            <w:r w:rsidRPr="001A22D3">
              <w:rPr>
                <w:rFonts w:asciiTheme="minorHAnsi" w:hAnsiTheme="minorHAnsi"/>
                <w:b/>
                <w:sz w:val="22"/>
                <w:szCs w:val="22"/>
              </w:rPr>
              <w:t>12.  Deviations from planning in the original programme document</w:t>
            </w:r>
          </w:p>
          <w:p w14:paraId="54F07570" w14:textId="77777777" w:rsidR="00B53557" w:rsidRPr="001A22D3" w:rsidRDefault="00B53557" w:rsidP="00B53557">
            <w:pPr>
              <w:widowControl w:val="0"/>
              <w:rPr>
                <w:rFonts w:asciiTheme="minorHAnsi" w:hAnsiTheme="minorHAnsi"/>
                <w:i/>
                <w:sz w:val="22"/>
                <w:szCs w:val="22"/>
              </w:rPr>
            </w:pPr>
            <w:r w:rsidRPr="001A22D3">
              <w:rPr>
                <w:rFonts w:asciiTheme="minorHAnsi" w:hAnsiTheme="minorHAnsi"/>
                <w:i/>
                <w:sz w:val="22"/>
                <w:szCs w:val="22"/>
              </w:rPr>
              <w:t xml:space="preserve">Give an account of significant differences in implementation compared with the approved project document. </w:t>
            </w:r>
          </w:p>
          <w:p w14:paraId="27D61BA9" w14:textId="77777777" w:rsidR="00B53557" w:rsidRPr="001A22D3" w:rsidRDefault="00B53557" w:rsidP="00B53557">
            <w:pPr>
              <w:widowControl w:val="0"/>
              <w:spacing w:line="276" w:lineRule="auto"/>
              <w:jc w:val="both"/>
              <w:rPr>
                <w:rFonts w:asciiTheme="minorHAnsi" w:hAnsiTheme="minorHAnsi"/>
                <w:sz w:val="22"/>
                <w:szCs w:val="22"/>
              </w:rPr>
            </w:pPr>
          </w:p>
          <w:p w14:paraId="7D0CFE95" w14:textId="2DA98577" w:rsidR="00E10074" w:rsidRDefault="00E10074" w:rsidP="00E10074">
            <w:pPr>
              <w:jc w:val="both"/>
              <w:rPr>
                <w:rFonts w:asciiTheme="minorHAnsi" w:hAnsiTheme="minorHAnsi" w:cstheme="minorHAnsi"/>
                <w:sz w:val="22"/>
                <w:szCs w:val="22"/>
                <w:lang w:val="en-US"/>
              </w:rPr>
            </w:pPr>
            <w:bookmarkStart w:id="3" w:name="_Hlk493521231"/>
            <w:r w:rsidRPr="004656FE">
              <w:rPr>
                <w:rFonts w:asciiTheme="minorHAnsi" w:hAnsiTheme="minorHAnsi" w:cstheme="minorHAnsi"/>
                <w:sz w:val="22"/>
                <w:szCs w:val="22"/>
                <w:lang w:val="en-US"/>
              </w:rPr>
              <w:t>During the project period, events in Crimea, the Revolution of Dignity</w:t>
            </w:r>
            <w:r w:rsidR="00AF34E9">
              <w:rPr>
                <w:rFonts w:asciiTheme="minorHAnsi" w:hAnsiTheme="minorHAnsi" w:cstheme="minorHAnsi"/>
                <w:sz w:val="22"/>
                <w:szCs w:val="22"/>
                <w:lang w:val="en-US"/>
              </w:rPr>
              <w:t>,</w:t>
            </w:r>
            <w:r w:rsidRPr="004656FE">
              <w:rPr>
                <w:rFonts w:asciiTheme="minorHAnsi" w:hAnsiTheme="minorHAnsi" w:cstheme="minorHAnsi"/>
                <w:sz w:val="22"/>
                <w:szCs w:val="22"/>
                <w:lang w:val="en-US"/>
              </w:rPr>
              <w:t xml:space="preserve"> and the subsequent conflict in the certain districts of Donetsk and Lugansk oblasts influenced the original project design significantly. In 2014, following the recommendation of the mid-term review mission, the project log</w:t>
            </w:r>
            <w:r w:rsidR="00AF34E9">
              <w:rPr>
                <w:rFonts w:asciiTheme="minorHAnsi" w:hAnsiTheme="minorHAnsi" w:cstheme="minorHAnsi"/>
                <w:sz w:val="22"/>
                <w:szCs w:val="22"/>
                <w:lang w:val="en-US"/>
              </w:rPr>
              <w:t>-</w:t>
            </w:r>
            <w:r w:rsidRPr="004656FE">
              <w:rPr>
                <w:rFonts w:asciiTheme="minorHAnsi" w:hAnsiTheme="minorHAnsi" w:cstheme="minorHAnsi"/>
                <w:sz w:val="22"/>
                <w:szCs w:val="22"/>
                <w:lang w:val="en-US"/>
              </w:rPr>
              <w:t xml:space="preserve">frame was revisited to reflect the project response to the new challenges. </w:t>
            </w:r>
          </w:p>
          <w:p w14:paraId="768F8666" w14:textId="77777777" w:rsidR="00E10074" w:rsidRPr="004656FE" w:rsidRDefault="00E10074" w:rsidP="00E10074">
            <w:pPr>
              <w:jc w:val="both"/>
              <w:rPr>
                <w:rFonts w:asciiTheme="minorHAnsi" w:hAnsiTheme="minorHAnsi" w:cstheme="minorHAnsi"/>
                <w:sz w:val="22"/>
                <w:szCs w:val="22"/>
                <w:lang w:val="en-US"/>
              </w:rPr>
            </w:pPr>
          </w:p>
          <w:p w14:paraId="7B23E306" w14:textId="5F32C9AF" w:rsidR="00E10074" w:rsidRDefault="00910EED" w:rsidP="00E10074">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00E10074" w:rsidRPr="004656FE">
              <w:rPr>
                <w:rFonts w:asciiTheme="minorHAnsi" w:hAnsiTheme="minorHAnsi" w:cstheme="minorHAnsi"/>
                <w:sz w:val="22"/>
                <w:szCs w:val="22"/>
                <w:lang w:val="en-US"/>
              </w:rPr>
              <w:t>n 2015 two major work stream</w:t>
            </w:r>
            <w:r w:rsidR="00E10074">
              <w:rPr>
                <w:rFonts w:asciiTheme="minorHAnsi" w:hAnsiTheme="minorHAnsi" w:cstheme="minorHAnsi"/>
                <w:sz w:val="22"/>
                <w:szCs w:val="22"/>
                <w:lang w:val="en-US"/>
              </w:rPr>
              <w:t>s</w:t>
            </w:r>
            <w:r w:rsidR="00E10074" w:rsidRPr="004656FE">
              <w:rPr>
                <w:rFonts w:asciiTheme="minorHAnsi" w:hAnsiTheme="minorHAnsi" w:cstheme="minorHAnsi"/>
                <w:sz w:val="22"/>
                <w:szCs w:val="22"/>
                <w:lang w:val="en-US"/>
              </w:rPr>
              <w:t xml:space="preserve"> elaborated under the umbrella of DHRP </w:t>
            </w:r>
            <w:r w:rsidR="00E10074">
              <w:rPr>
                <w:rFonts w:asciiTheme="minorHAnsi" w:hAnsiTheme="minorHAnsi" w:cstheme="minorHAnsi"/>
                <w:sz w:val="22"/>
                <w:szCs w:val="22"/>
                <w:lang w:val="en-US"/>
              </w:rPr>
              <w:t xml:space="preserve">– anticorruption and support to Ombudsperson’s Office – grew into the independent projects: </w:t>
            </w:r>
            <w:r w:rsidR="00E10074" w:rsidRPr="00D314A3">
              <w:rPr>
                <w:rFonts w:asciiTheme="minorHAnsi" w:hAnsiTheme="minorHAnsi" w:cstheme="minorHAnsi"/>
                <w:i/>
                <w:sz w:val="22"/>
                <w:szCs w:val="22"/>
                <w:lang w:val="en-US"/>
              </w:rPr>
              <w:t>“</w:t>
            </w:r>
            <w:hyperlink r:id="rId32" w:history="1">
              <w:r w:rsidR="00E10074" w:rsidRPr="00D314A3">
                <w:rPr>
                  <w:rFonts w:asciiTheme="minorHAnsi" w:hAnsiTheme="minorHAnsi" w:cstheme="minorHAnsi"/>
                  <w:i/>
                  <w:sz w:val="22"/>
                  <w:szCs w:val="22"/>
                  <w:lang w:val="en-US"/>
                </w:rPr>
                <w:t>Enhanced Public Sector Transparency and Integrity Programme</w:t>
              </w:r>
            </w:hyperlink>
            <w:r w:rsidR="00E10074">
              <w:rPr>
                <w:rFonts w:asciiTheme="minorHAnsi" w:hAnsiTheme="minorHAnsi" w:cstheme="minorHAnsi"/>
                <w:sz w:val="22"/>
                <w:szCs w:val="22"/>
                <w:lang w:val="en-US"/>
              </w:rPr>
              <w:t>” and “</w:t>
            </w:r>
            <w:hyperlink r:id="rId33" w:history="1">
              <w:r w:rsidR="00E10074" w:rsidRPr="00D314A3">
                <w:rPr>
                  <w:rFonts w:asciiTheme="minorHAnsi" w:hAnsiTheme="minorHAnsi" w:cstheme="minorHAnsi"/>
                  <w:i/>
                  <w:sz w:val="22"/>
                  <w:szCs w:val="22"/>
                  <w:lang w:val="en-US"/>
                </w:rPr>
                <w:t>Strengthening Capacities of the Ombudsperson's Office Project</w:t>
              </w:r>
            </w:hyperlink>
            <w:r w:rsidR="00E10074">
              <w:rPr>
                <w:rFonts w:asciiTheme="minorHAnsi" w:hAnsiTheme="minorHAnsi" w:cstheme="minorHAnsi"/>
                <w:sz w:val="22"/>
                <w:szCs w:val="22"/>
                <w:lang w:val="en-US"/>
              </w:rPr>
              <w:t>”</w:t>
            </w:r>
            <w:r w:rsidR="00E10074" w:rsidRPr="00E2030B">
              <w:rPr>
                <w:rFonts w:asciiTheme="minorHAnsi" w:hAnsiTheme="minorHAnsi" w:cstheme="minorHAnsi"/>
                <w:sz w:val="22"/>
                <w:szCs w:val="22"/>
                <w:lang w:val="en-US"/>
              </w:rPr>
              <w:t> (</w:t>
            </w:r>
            <w:r w:rsidR="00E10074">
              <w:rPr>
                <w:rFonts w:asciiTheme="minorHAnsi" w:hAnsiTheme="minorHAnsi" w:cstheme="minorHAnsi"/>
                <w:sz w:val="22"/>
                <w:szCs w:val="22"/>
                <w:lang w:val="en-US"/>
              </w:rPr>
              <w:t xml:space="preserve">both </w:t>
            </w:r>
            <w:r w:rsidR="00E10074" w:rsidRPr="00E2030B">
              <w:rPr>
                <w:rFonts w:asciiTheme="minorHAnsi" w:hAnsiTheme="minorHAnsi" w:cstheme="minorHAnsi"/>
                <w:sz w:val="22"/>
                <w:szCs w:val="22"/>
                <w:lang w:val="en-US"/>
              </w:rPr>
              <w:t>2015-2018).</w:t>
            </w:r>
          </w:p>
          <w:p w14:paraId="3A70388F" w14:textId="3D798C47" w:rsidR="00BA3357" w:rsidRDefault="00BA3357" w:rsidP="00E10074">
            <w:pPr>
              <w:jc w:val="both"/>
              <w:rPr>
                <w:rFonts w:asciiTheme="minorHAnsi" w:hAnsiTheme="minorHAnsi" w:cstheme="minorHAnsi"/>
                <w:sz w:val="22"/>
                <w:szCs w:val="22"/>
                <w:lang w:val="en-US"/>
              </w:rPr>
            </w:pPr>
          </w:p>
          <w:p w14:paraId="7B0759C7" w14:textId="6635CFC6" w:rsidR="00BA3357" w:rsidRPr="004656FE" w:rsidRDefault="00BA3357" w:rsidP="00E10074">
            <w:pPr>
              <w:jc w:val="both"/>
              <w:rPr>
                <w:rFonts w:asciiTheme="minorHAnsi" w:hAnsiTheme="minorHAnsi" w:cstheme="minorHAnsi"/>
                <w:sz w:val="22"/>
                <w:szCs w:val="22"/>
                <w:lang w:val="en-US"/>
              </w:rPr>
            </w:pPr>
            <w:r>
              <w:rPr>
                <w:rFonts w:asciiTheme="minorHAnsi" w:hAnsiTheme="minorHAnsi" w:cstheme="minorHAnsi"/>
                <w:sz w:val="22"/>
                <w:szCs w:val="22"/>
                <w:lang w:val="en-US"/>
              </w:rPr>
              <w:t>Additionally, since autumn 2015</w:t>
            </w:r>
            <w:r w:rsidR="005D6600">
              <w:rPr>
                <w:rFonts w:asciiTheme="minorHAnsi" w:hAnsiTheme="minorHAnsi" w:cstheme="minorHAnsi"/>
                <w:sz w:val="22"/>
                <w:szCs w:val="22"/>
                <w:lang w:val="en-US"/>
              </w:rPr>
              <w:t>,</w:t>
            </w:r>
            <w:r>
              <w:rPr>
                <w:rFonts w:asciiTheme="minorHAnsi" w:hAnsiTheme="minorHAnsi" w:cstheme="minorHAnsi"/>
                <w:sz w:val="22"/>
                <w:szCs w:val="22"/>
                <w:lang w:val="en-US"/>
              </w:rPr>
              <w:t xml:space="preserve"> UNDP implemented the </w:t>
            </w:r>
            <w:r w:rsidR="005D6600">
              <w:rPr>
                <w:rFonts w:asciiTheme="minorHAnsi" w:hAnsiTheme="minorHAnsi" w:cstheme="minorHAnsi"/>
                <w:sz w:val="22"/>
                <w:szCs w:val="22"/>
                <w:lang w:val="en-US"/>
              </w:rPr>
              <w:t>r</w:t>
            </w:r>
            <w:r>
              <w:rPr>
                <w:rFonts w:asciiTheme="minorHAnsi" w:hAnsiTheme="minorHAnsi" w:cstheme="minorHAnsi"/>
                <w:sz w:val="22"/>
                <w:szCs w:val="22"/>
                <w:lang w:val="en-US"/>
              </w:rPr>
              <w:t xml:space="preserve">egional capacity development component of the Programme aiming at building capacities of the implementing partners and their partner CSOs to apply the human rights based approach and gender mainstreaming in their programming (please refer to a separate report on the Regional Component of the Programme). </w:t>
            </w:r>
          </w:p>
          <w:bookmarkEnd w:id="3"/>
          <w:p w14:paraId="1F08AE5A" w14:textId="77777777" w:rsidR="00B53557" w:rsidRPr="00E10074" w:rsidRDefault="00B53557" w:rsidP="00B53557">
            <w:pPr>
              <w:widowControl w:val="0"/>
              <w:spacing w:line="276" w:lineRule="auto"/>
              <w:jc w:val="both"/>
              <w:rPr>
                <w:rFonts w:asciiTheme="minorHAnsi" w:hAnsiTheme="minorHAnsi"/>
                <w:sz w:val="22"/>
                <w:szCs w:val="22"/>
                <w:lang w:val="en-US"/>
              </w:rPr>
            </w:pPr>
          </w:p>
        </w:tc>
      </w:tr>
      <w:tr w:rsidR="00B53557" w:rsidRPr="001A22D3" w14:paraId="71E7BEF1" w14:textId="77777777" w:rsidTr="001A2049">
        <w:tblPrEx>
          <w:tblBorders>
            <w:insideH w:val="single" w:sz="4" w:space="0" w:color="auto"/>
            <w:insideV w:val="single" w:sz="4" w:space="0" w:color="auto"/>
          </w:tblBorders>
        </w:tblPrEx>
        <w:trPr>
          <w:gridAfter w:val="2"/>
          <w:wAfter w:w="23" w:type="dxa"/>
          <w:trHeight w:val="53"/>
        </w:trPr>
        <w:tc>
          <w:tcPr>
            <w:tcW w:w="10142" w:type="dxa"/>
            <w:gridSpan w:val="4"/>
          </w:tcPr>
          <w:p w14:paraId="72DA4B2A" w14:textId="77777777" w:rsidR="00B53557" w:rsidRPr="001A22D3" w:rsidRDefault="00B53557" w:rsidP="00B53557">
            <w:pPr>
              <w:widowControl w:val="0"/>
              <w:rPr>
                <w:rFonts w:asciiTheme="minorHAnsi" w:hAnsiTheme="minorHAnsi"/>
                <w:b/>
                <w:sz w:val="22"/>
                <w:szCs w:val="22"/>
              </w:rPr>
            </w:pPr>
            <w:r w:rsidRPr="001A22D3">
              <w:rPr>
                <w:rFonts w:asciiTheme="minorHAnsi" w:hAnsiTheme="minorHAnsi"/>
                <w:b/>
                <w:sz w:val="22"/>
                <w:szCs w:val="22"/>
              </w:rPr>
              <w:t>13. Sustainability and exit strategy</w:t>
            </w:r>
          </w:p>
          <w:p w14:paraId="3B828BCF" w14:textId="77777777" w:rsidR="00B53557" w:rsidRPr="001A22D3" w:rsidRDefault="00B53557" w:rsidP="00B53557">
            <w:pPr>
              <w:widowControl w:val="0"/>
              <w:jc w:val="both"/>
              <w:rPr>
                <w:rFonts w:asciiTheme="minorHAnsi" w:hAnsiTheme="minorHAnsi"/>
                <w:iCs/>
                <w:sz w:val="22"/>
                <w:szCs w:val="22"/>
              </w:rPr>
            </w:pPr>
          </w:p>
          <w:p w14:paraId="1A3A604A" w14:textId="16B2C137" w:rsidR="00B53557" w:rsidRPr="00F91874" w:rsidRDefault="00B53557" w:rsidP="00B53557">
            <w:pPr>
              <w:widowControl w:val="0"/>
              <w:jc w:val="both"/>
              <w:rPr>
                <w:rFonts w:asciiTheme="minorHAnsi" w:hAnsiTheme="minorHAnsi"/>
                <w:iCs/>
                <w:sz w:val="22"/>
                <w:szCs w:val="22"/>
              </w:rPr>
            </w:pPr>
            <w:r>
              <w:rPr>
                <w:rFonts w:asciiTheme="minorHAnsi" w:hAnsiTheme="minorHAnsi"/>
                <w:iCs/>
                <w:sz w:val="22"/>
                <w:szCs w:val="22"/>
              </w:rPr>
              <w:t xml:space="preserve">The strategy for ensuring </w:t>
            </w:r>
            <w:r w:rsidRPr="00742B28">
              <w:rPr>
                <w:rFonts w:asciiTheme="minorHAnsi" w:hAnsiTheme="minorHAnsi"/>
                <w:iCs/>
                <w:sz w:val="22"/>
                <w:szCs w:val="22"/>
              </w:rPr>
              <w:t>the institutional sustainability of the regional organisations – CSO hubs</w:t>
            </w:r>
            <w:r>
              <w:rPr>
                <w:rFonts w:asciiTheme="minorHAnsi" w:hAnsiTheme="minorHAnsi"/>
                <w:iCs/>
                <w:sz w:val="22"/>
                <w:szCs w:val="22"/>
              </w:rPr>
              <w:t xml:space="preserve"> (exit strategy) has </w:t>
            </w:r>
            <w:r w:rsidRPr="00F91874">
              <w:rPr>
                <w:rFonts w:asciiTheme="minorHAnsi" w:hAnsiTheme="minorHAnsi"/>
                <w:iCs/>
                <w:sz w:val="22"/>
                <w:szCs w:val="22"/>
              </w:rPr>
              <w:t>been developed based on the conclusions and recommendations of the Analytical Report on the results of the final organizational assessment of the CSO hubs conducted during April-May 2016</w:t>
            </w:r>
            <w:r w:rsidR="00A225A6">
              <w:rPr>
                <w:rFonts w:asciiTheme="minorHAnsi" w:hAnsiTheme="minorHAnsi"/>
                <w:iCs/>
                <w:sz w:val="22"/>
                <w:szCs w:val="22"/>
              </w:rPr>
              <w:t>.</w:t>
            </w:r>
            <w:r w:rsidRPr="00F91874">
              <w:rPr>
                <w:rFonts w:asciiTheme="minorHAnsi" w:hAnsiTheme="minorHAnsi"/>
                <w:iCs/>
                <w:sz w:val="22"/>
                <w:szCs w:val="22"/>
              </w:rPr>
              <w:t xml:space="preserve"> </w:t>
            </w:r>
            <w:r w:rsidR="00A225A6">
              <w:rPr>
                <w:rFonts w:asciiTheme="minorHAnsi" w:hAnsiTheme="minorHAnsi"/>
                <w:iCs/>
                <w:sz w:val="22"/>
                <w:szCs w:val="22"/>
              </w:rPr>
              <w:t xml:space="preserve">The </w:t>
            </w:r>
            <w:r w:rsidRPr="00F91874">
              <w:rPr>
                <w:rFonts w:asciiTheme="minorHAnsi" w:hAnsiTheme="minorHAnsi"/>
                <w:iCs/>
                <w:sz w:val="22"/>
                <w:szCs w:val="22"/>
              </w:rPr>
              <w:t>results of the joint CSO hubs’ meeting</w:t>
            </w:r>
            <w:r w:rsidR="00A225A6">
              <w:rPr>
                <w:rFonts w:asciiTheme="minorHAnsi" w:hAnsiTheme="minorHAnsi"/>
                <w:iCs/>
                <w:sz w:val="22"/>
                <w:szCs w:val="22"/>
              </w:rPr>
              <w:t xml:space="preserve"> was</w:t>
            </w:r>
            <w:r w:rsidRPr="00F91874">
              <w:rPr>
                <w:rFonts w:asciiTheme="minorHAnsi" w:hAnsiTheme="minorHAnsi"/>
                <w:iCs/>
                <w:sz w:val="22"/>
                <w:szCs w:val="22"/>
              </w:rPr>
              <w:t xml:space="preserve"> held on the 30th of November 2016. </w:t>
            </w:r>
          </w:p>
          <w:p w14:paraId="4C8CB36D" w14:textId="77777777" w:rsidR="00B53557" w:rsidRPr="00F91874" w:rsidRDefault="00B53557" w:rsidP="00B53557">
            <w:pPr>
              <w:widowControl w:val="0"/>
              <w:jc w:val="both"/>
              <w:rPr>
                <w:rFonts w:asciiTheme="minorHAnsi" w:hAnsiTheme="minorHAnsi"/>
                <w:iCs/>
                <w:sz w:val="22"/>
                <w:szCs w:val="22"/>
              </w:rPr>
            </w:pPr>
          </w:p>
          <w:p w14:paraId="4CCC2D72" w14:textId="77777777" w:rsidR="00B53557" w:rsidRDefault="00B53557" w:rsidP="00B53557">
            <w:pPr>
              <w:jc w:val="both"/>
              <w:rPr>
                <w:rFonts w:asciiTheme="minorHAnsi" w:eastAsia="Calibri" w:hAnsiTheme="minorHAnsi" w:cs="Arial"/>
                <w:sz w:val="22"/>
                <w:szCs w:val="22"/>
                <w:lang w:val="uk-UA"/>
              </w:rPr>
            </w:pPr>
            <w:r>
              <w:rPr>
                <w:rFonts w:asciiTheme="minorHAnsi" w:eastAsia="Calibri" w:hAnsiTheme="minorHAnsi" w:cs="Arial"/>
                <w:sz w:val="22"/>
                <w:szCs w:val="22"/>
              </w:rPr>
              <w:t>T</w:t>
            </w:r>
            <w:r w:rsidRPr="00F91874">
              <w:rPr>
                <w:rFonts w:asciiTheme="minorHAnsi" w:eastAsia="Calibri" w:hAnsiTheme="minorHAnsi" w:cs="Arial"/>
                <w:sz w:val="22"/>
                <w:szCs w:val="22"/>
              </w:rPr>
              <w:t xml:space="preserve">he Strategy </w:t>
            </w:r>
            <w:r>
              <w:rPr>
                <w:rFonts w:asciiTheme="minorHAnsi" w:eastAsia="Calibri" w:hAnsiTheme="minorHAnsi" w:cs="Arial"/>
                <w:sz w:val="22"/>
                <w:szCs w:val="22"/>
              </w:rPr>
              <w:t>focuses on two different work directions</w:t>
            </w:r>
            <w:r w:rsidRPr="00F91874">
              <w:rPr>
                <w:rFonts w:asciiTheme="minorHAnsi" w:eastAsia="Calibri" w:hAnsiTheme="minorHAnsi" w:cs="Arial"/>
                <w:sz w:val="22"/>
                <w:szCs w:val="22"/>
                <w:lang w:val="uk-UA"/>
              </w:rPr>
              <w:t>:</w:t>
            </w:r>
            <w:r>
              <w:rPr>
                <w:rFonts w:asciiTheme="minorHAnsi" w:eastAsia="Calibri" w:hAnsiTheme="minorHAnsi" w:cs="Arial"/>
                <w:sz w:val="22"/>
                <w:szCs w:val="22"/>
                <w:lang w:val="en-US"/>
              </w:rPr>
              <w:t xml:space="preserve"> 1) ensuring </w:t>
            </w:r>
            <w:r w:rsidRPr="00F91874">
              <w:rPr>
                <w:rFonts w:asciiTheme="minorHAnsi" w:eastAsia="Calibri" w:hAnsiTheme="minorHAnsi" w:cs="Arial"/>
                <w:sz w:val="22"/>
                <w:szCs w:val="22"/>
              </w:rPr>
              <w:t xml:space="preserve">sustainability of the positive results of the individual CSO hubs </w:t>
            </w:r>
            <w:r>
              <w:rPr>
                <w:rFonts w:asciiTheme="minorHAnsi" w:eastAsia="Calibri" w:hAnsiTheme="minorHAnsi" w:cs="Arial"/>
                <w:sz w:val="22"/>
                <w:szCs w:val="22"/>
              </w:rPr>
              <w:t xml:space="preserve">and their </w:t>
            </w:r>
            <w:r w:rsidRPr="00F91874">
              <w:rPr>
                <w:rFonts w:asciiTheme="minorHAnsi" w:eastAsia="Calibri" w:hAnsiTheme="minorHAnsi" w:cs="Arial"/>
                <w:sz w:val="22"/>
                <w:szCs w:val="22"/>
              </w:rPr>
              <w:t>further institutional development</w:t>
            </w:r>
            <w:r>
              <w:rPr>
                <w:rFonts w:asciiTheme="minorHAnsi" w:eastAsia="Calibri" w:hAnsiTheme="minorHAnsi" w:cs="Arial"/>
                <w:sz w:val="22"/>
                <w:szCs w:val="22"/>
                <w:lang w:val="en-US"/>
              </w:rPr>
              <w:t xml:space="preserve">; 2) ensuring </w:t>
            </w:r>
            <w:r w:rsidRPr="00F91874">
              <w:rPr>
                <w:rFonts w:asciiTheme="minorHAnsi" w:eastAsia="Calibri" w:hAnsiTheme="minorHAnsi" w:cs="Arial"/>
                <w:sz w:val="22"/>
                <w:szCs w:val="22"/>
              </w:rPr>
              <w:t>further development of the hubs’ network without additional donor support</w:t>
            </w:r>
            <w:r w:rsidRPr="00F91874">
              <w:rPr>
                <w:rFonts w:asciiTheme="minorHAnsi" w:eastAsia="Calibri" w:hAnsiTheme="minorHAnsi" w:cs="Arial"/>
                <w:sz w:val="22"/>
                <w:szCs w:val="22"/>
                <w:lang w:val="uk-UA"/>
              </w:rPr>
              <w:t>.</w:t>
            </w:r>
          </w:p>
          <w:p w14:paraId="4FF847E1" w14:textId="77777777" w:rsidR="00B53557" w:rsidRDefault="00B53557" w:rsidP="00B53557">
            <w:pPr>
              <w:jc w:val="both"/>
              <w:rPr>
                <w:rFonts w:asciiTheme="minorHAnsi" w:eastAsia="Calibri" w:hAnsiTheme="minorHAnsi" w:cs="Arial"/>
                <w:sz w:val="22"/>
                <w:szCs w:val="22"/>
                <w:lang w:val="uk-UA"/>
              </w:rPr>
            </w:pPr>
          </w:p>
          <w:p w14:paraId="02EA57F0" w14:textId="62AB2BAD" w:rsidR="00B53557" w:rsidRPr="00216C8C" w:rsidRDefault="00B53557" w:rsidP="00B53557">
            <w:pPr>
              <w:jc w:val="both"/>
              <w:rPr>
                <w:rFonts w:asciiTheme="minorHAnsi" w:eastAsia="Calibri" w:hAnsiTheme="minorHAnsi" w:cs="Arial"/>
                <w:sz w:val="22"/>
                <w:szCs w:val="22"/>
                <w:lang w:val="en-US"/>
              </w:rPr>
            </w:pPr>
            <w:r>
              <w:rPr>
                <w:rFonts w:asciiTheme="minorHAnsi" w:eastAsia="Calibri" w:hAnsiTheme="minorHAnsi" w:cs="Arial"/>
                <w:sz w:val="22"/>
                <w:szCs w:val="22"/>
                <w:lang w:val="en-US"/>
              </w:rPr>
              <w:t xml:space="preserve">For further sustainable development of the </w:t>
            </w:r>
            <w:r w:rsidRPr="00987C79">
              <w:rPr>
                <w:rFonts w:asciiTheme="minorHAnsi" w:eastAsia="Calibri" w:hAnsiTheme="minorHAnsi" w:cs="Arial"/>
                <w:i/>
                <w:sz w:val="22"/>
                <w:szCs w:val="22"/>
                <w:lang w:val="en-US"/>
              </w:rPr>
              <w:t>individual CSO hubs</w:t>
            </w:r>
            <w:r>
              <w:rPr>
                <w:rFonts w:asciiTheme="minorHAnsi" w:eastAsia="Calibri" w:hAnsiTheme="minorHAnsi" w:cs="Arial"/>
                <w:sz w:val="22"/>
                <w:szCs w:val="22"/>
                <w:lang w:val="en-US"/>
              </w:rPr>
              <w:t xml:space="preserve">, </w:t>
            </w:r>
            <w:r w:rsidRPr="005A17C0">
              <w:rPr>
                <w:rFonts w:asciiTheme="minorHAnsi" w:eastAsia="Calibri" w:hAnsiTheme="minorHAnsi" w:cs="Arial"/>
                <w:sz w:val="22"/>
                <w:szCs w:val="22"/>
                <w:lang w:val="en-US"/>
              </w:rPr>
              <w:t xml:space="preserve">the organisations will </w:t>
            </w:r>
            <w:r>
              <w:rPr>
                <w:rFonts w:asciiTheme="minorHAnsi" w:eastAsia="Calibri" w:hAnsiTheme="minorHAnsi" w:cs="Arial"/>
                <w:sz w:val="22"/>
                <w:szCs w:val="22"/>
                <w:lang w:val="en-US"/>
              </w:rPr>
              <w:t xml:space="preserve">aim to </w:t>
            </w:r>
            <w:r w:rsidRPr="005A17C0">
              <w:rPr>
                <w:rFonts w:asciiTheme="minorHAnsi" w:eastAsia="Calibri" w:hAnsiTheme="minorHAnsi" w:cs="Arial"/>
                <w:sz w:val="22"/>
                <w:szCs w:val="22"/>
                <w:lang w:val="en-US"/>
              </w:rPr>
              <w:t xml:space="preserve">ensure a more systemic participation of the Board in the decision-making of the organization for </w:t>
            </w:r>
            <w:r>
              <w:rPr>
                <w:rFonts w:asciiTheme="minorHAnsi" w:eastAsia="Calibri" w:hAnsiTheme="minorHAnsi" w:cs="Arial"/>
                <w:sz w:val="22"/>
                <w:szCs w:val="22"/>
                <w:lang w:val="en-US"/>
              </w:rPr>
              <w:t xml:space="preserve">its </w:t>
            </w:r>
            <w:r w:rsidRPr="005A17C0">
              <w:rPr>
                <w:rFonts w:asciiTheme="minorHAnsi" w:eastAsia="Calibri" w:hAnsiTheme="minorHAnsi" w:cs="Arial"/>
                <w:sz w:val="22"/>
                <w:szCs w:val="22"/>
                <w:lang w:val="en-US"/>
              </w:rPr>
              <w:t xml:space="preserve">higher impact on their organizational </w:t>
            </w:r>
            <w:r>
              <w:rPr>
                <w:rFonts w:asciiTheme="minorHAnsi" w:eastAsia="Calibri" w:hAnsiTheme="minorHAnsi" w:cs="Arial"/>
                <w:sz w:val="22"/>
                <w:szCs w:val="22"/>
                <w:lang w:val="en-US"/>
              </w:rPr>
              <w:t xml:space="preserve">and financial </w:t>
            </w:r>
            <w:r w:rsidRPr="005A17C0">
              <w:rPr>
                <w:rFonts w:asciiTheme="minorHAnsi" w:eastAsia="Calibri" w:hAnsiTheme="minorHAnsi" w:cs="Arial"/>
                <w:sz w:val="22"/>
                <w:szCs w:val="22"/>
                <w:lang w:val="en-US"/>
              </w:rPr>
              <w:t>strategies; continue reshaping the management structure in the organisations; improve the system of monitoring and evaluation; conduct the self-assessment of the organization</w:t>
            </w:r>
            <w:r>
              <w:rPr>
                <w:rFonts w:asciiTheme="minorHAnsi" w:eastAsia="Calibri" w:hAnsiTheme="minorHAnsi" w:cs="Arial"/>
                <w:sz w:val="22"/>
                <w:szCs w:val="22"/>
                <w:lang w:val="en-US"/>
              </w:rPr>
              <w:t xml:space="preserve"> </w:t>
            </w:r>
            <w:r w:rsidRPr="005A17C0">
              <w:rPr>
                <w:rFonts w:asciiTheme="minorHAnsi" w:eastAsia="Calibri" w:hAnsiTheme="minorHAnsi" w:cs="Arial"/>
                <w:sz w:val="22"/>
                <w:szCs w:val="22"/>
                <w:lang w:val="en-US"/>
              </w:rPr>
              <w:t>on a constant basis, and redistribute the responsibilities between the personnel for ensuring sustainable growth.</w:t>
            </w:r>
            <w:r w:rsidRPr="00216C8C">
              <w:rPr>
                <w:rFonts w:asciiTheme="minorHAnsi" w:eastAsia="Calibri" w:hAnsiTheme="minorHAnsi" w:cs="Arial"/>
                <w:sz w:val="22"/>
                <w:szCs w:val="22"/>
                <w:lang w:val="en-US"/>
              </w:rPr>
              <w:t xml:space="preserve"> </w:t>
            </w:r>
            <w:r w:rsidR="00A225A6">
              <w:rPr>
                <w:rFonts w:asciiTheme="minorHAnsi" w:eastAsia="Calibri" w:hAnsiTheme="minorHAnsi" w:cs="Arial"/>
                <w:sz w:val="22"/>
                <w:szCs w:val="22"/>
                <w:lang w:val="en-US"/>
              </w:rPr>
              <w:t>CSOs</w:t>
            </w:r>
            <w:r w:rsidR="00A225A6" w:rsidRPr="00216C8C">
              <w:rPr>
                <w:rFonts w:asciiTheme="minorHAnsi" w:eastAsia="Calibri" w:hAnsiTheme="minorHAnsi" w:cs="Arial"/>
                <w:sz w:val="22"/>
                <w:szCs w:val="22"/>
                <w:lang w:val="en-US"/>
              </w:rPr>
              <w:t xml:space="preserve"> </w:t>
            </w:r>
            <w:r w:rsidRPr="00216C8C">
              <w:rPr>
                <w:rFonts w:asciiTheme="minorHAnsi" w:eastAsia="Calibri" w:hAnsiTheme="minorHAnsi" w:cs="Arial"/>
                <w:sz w:val="22"/>
                <w:szCs w:val="22"/>
                <w:lang w:val="en-US"/>
              </w:rPr>
              <w:t xml:space="preserve">will continue efforts to reduce dependence from donor programmes by attracting funds from the local budgets; promote the local fundraising strategy; use the endowment fund provided by UNDP effectively, cost-efficiently and in line with the approved programme; consider creating their own social enterprises; and aim to develop the ‘bank of ideas’ (public initiatives and long-term projects). </w:t>
            </w:r>
          </w:p>
          <w:p w14:paraId="733C3374" w14:textId="77777777" w:rsidR="00B53557" w:rsidRPr="00484895" w:rsidRDefault="00B53557" w:rsidP="00B53557">
            <w:pPr>
              <w:jc w:val="both"/>
              <w:rPr>
                <w:rFonts w:asciiTheme="minorHAnsi" w:eastAsia="Calibri" w:hAnsiTheme="minorHAnsi" w:cs="Arial"/>
                <w:sz w:val="22"/>
                <w:szCs w:val="22"/>
                <w:lang w:val="en-US"/>
              </w:rPr>
            </w:pPr>
          </w:p>
          <w:p w14:paraId="678EDBDB" w14:textId="53811AF7" w:rsidR="00B53557" w:rsidRDefault="00B53557" w:rsidP="00B53557">
            <w:pPr>
              <w:jc w:val="both"/>
              <w:rPr>
                <w:rFonts w:asciiTheme="minorHAnsi" w:hAnsiTheme="minorHAnsi"/>
                <w:iCs/>
                <w:sz w:val="22"/>
                <w:szCs w:val="22"/>
              </w:rPr>
            </w:pPr>
            <w:r w:rsidRPr="00484895">
              <w:rPr>
                <w:rFonts w:asciiTheme="minorHAnsi" w:eastAsia="Calibri" w:hAnsiTheme="minorHAnsi" w:cs="Arial"/>
                <w:sz w:val="22"/>
                <w:szCs w:val="22"/>
                <w:lang w:val="en-US"/>
              </w:rPr>
              <w:t xml:space="preserve">For </w:t>
            </w:r>
            <w:r w:rsidRPr="00484895">
              <w:rPr>
                <w:rFonts w:asciiTheme="minorHAnsi" w:eastAsia="Calibri" w:hAnsiTheme="minorHAnsi" w:cs="Arial"/>
                <w:i/>
                <w:sz w:val="22"/>
                <w:szCs w:val="22"/>
                <w:lang w:val="en-US"/>
              </w:rPr>
              <w:t>ensuring sustainability and efficiency of the hubs’ network</w:t>
            </w:r>
            <w:r w:rsidRPr="00484895">
              <w:rPr>
                <w:rFonts w:asciiTheme="minorHAnsi" w:eastAsia="Calibri" w:hAnsiTheme="minorHAnsi" w:cs="Arial"/>
                <w:sz w:val="22"/>
                <w:szCs w:val="22"/>
                <w:lang w:val="en-US"/>
              </w:rPr>
              <w:t>, it is foreseen to institutionalize the hubs’ network through</w:t>
            </w:r>
            <w:r w:rsidR="00A225A6">
              <w:rPr>
                <w:rFonts w:asciiTheme="minorHAnsi" w:eastAsia="Calibri" w:hAnsiTheme="minorHAnsi" w:cs="Arial"/>
                <w:sz w:val="22"/>
                <w:szCs w:val="22"/>
                <w:lang w:val="en-US"/>
              </w:rPr>
              <w:t xml:space="preserve"> the</w:t>
            </w:r>
            <w:r w:rsidRPr="00484895">
              <w:rPr>
                <w:rFonts w:asciiTheme="minorHAnsi" w:eastAsia="Calibri" w:hAnsiTheme="minorHAnsi" w:cs="Arial"/>
                <w:sz w:val="22"/>
                <w:szCs w:val="22"/>
                <w:lang w:val="en-US"/>
              </w:rPr>
              <w:t xml:space="preserve"> development of joint vision</w:t>
            </w:r>
            <w:r w:rsidR="00A225A6">
              <w:rPr>
                <w:rFonts w:asciiTheme="minorHAnsi" w:eastAsia="Calibri" w:hAnsiTheme="minorHAnsi" w:cs="Arial"/>
                <w:sz w:val="22"/>
                <w:szCs w:val="22"/>
                <w:lang w:val="en-US"/>
              </w:rPr>
              <w:t>s</w:t>
            </w:r>
            <w:r w:rsidRPr="00484895">
              <w:rPr>
                <w:rFonts w:asciiTheme="minorHAnsi" w:eastAsia="Calibri" w:hAnsiTheme="minorHAnsi" w:cs="Arial"/>
                <w:sz w:val="22"/>
                <w:szCs w:val="22"/>
                <w:lang w:val="en-US"/>
              </w:rPr>
              <w:t>, values, strategic goals and respective policies; expand</w:t>
            </w:r>
            <w:r w:rsidR="00A225A6">
              <w:rPr>
                <w:rFonts w:asciiTheme="minorHAnsi" w:eastAsia="Calibri" w:hAnsiTheme="minorHAnsi" w:cs="Arial"/>
                <w:sz w:val="22"/>
                <w:szCs w:val="22"/>
                <w:lang w:val="en-US"/>
              </w:rPr>
              <w:t>ing</w:t>
            </w:r>
            <w:r w:rsidRPr="00484895">
              <w:rPr>
                <w:rFonts w:asciiTheme="minorHAnsi" w:eastAsia="Calibri" w:hAnsiTheme="minorHAnsi" w:cs="Arial"/>
                <w:sz w:val="22"/>
                <w:szCs w:val="22"/>
                <w:lang w:val="en-US"/>
              </w:rPr>
              <w:t xml:space="preserve"> the network through </w:t>
            </w:r>
            <w:r w:rsidR="00A225A6">
              <w:rPr>
                <w:rFonts w:asciiTheme="minorHAnsi" w:eastAsia="Calibri" w:hAnsiTheme="minorHAnsi" w:cs="Arial"/>
                <w:sz w:val="22"/>
                <w:szCs w:val="22"/>
                <w:lang w:val="en-US"/>
              </w:rPr>
              <w:t xml:space="preserve">the </w:t>
            </w:r>
            <w:r w:rsidRPr="00484895">
              <w:rPr>
                <w:rFonts w:asciiTheme="minorHAnsi" w:eastAsia="Calibri" w:hAnsiTheme="minorHAnsi" w:cs="Arial"/>
                <w:sz w:val="22"/>
                <w:szCs w:val="22"/>
                <w:lang w:val="en-US"/>
              </w:rPr>
              <w:t>selection of partners sharing the same vision and values; enhanc</w:t>
            </w:r>
            <w:r w:rsidR="00A225A6">
              <w:rPr>
                <w:rFonts w:asciiTheme="minorHAnsi" w:eastAsia="Calibri" w:hAnsiTheme="minorHAnsi" w:cs="Arial"/>
                <w:sz w:val="22"/>
                <w:szCs w:val="22"/>
                <w:lang w:val="en-US"/>
              </w:rPr>
              <w:t>ing</w:t>
            </w:r>
            <w:r w:rsidRPr="00484895">
              <w:rPr>
                <w:rFonts w:asciiTheme="minorHAnsi" w:eastAsia="Calibri" w:hAnsiTheme="minorHAnsi" w:cs="Arial"/>
                <w:sz w:val="22"/>
                <w:szCs w:val="22"/>
                <w:lang w:val="en-US"/>
              </w:rPr>
              <w:t xml:space="preserve"> the professionalism of hubs’ – members of the network – through implementation of new projects and programmes; actively promot</w:t>
            </w:r>
            <w:r w:rsidR="00A225A6">
              <w:rPr>
                <w:rFonts w:asciiTheme="minorHAnsi" w:eastAsia="Calibri" w:hAnsiTheme="minorHAnsi" w:cs="Arial"/>
                <w:sz w:val="22"/>
                <w:szCs w:val="22"/>
                <w:lang w:val="en-US"/>
              </w:rPr>
              <w:t>ing</w:t>
            </w:r>
            <w:r w:rsidRPr="00484895">
              <w:rPr>
                <w:rFonts w:asciiTheme="minorHAnsi" w:eastAsia="Calibri" w:hAnsiTheme="minorHAnsi" w:cs="Arial"/>
                <w:sz w:val="22"/>
                <w:szCs w:val="22"/>
                <w:lang w:val="en-US"/>
              </w:rPr>
              <w:t xml:space="preserve"> the network through strategic communication to fundraise for the networks’ projects; and introduce the model of “community of practices” for defining, rethinking and structuring the positive practices of the organizational development and promote such </w:t>
            </w:r>
            <w:r>
              <w:rPr>
                <w:rFonts w:asciiTheme="minorHAnsi" w:eastAsia="Calibri" w:hAnsiTheme="minorHAnsi" w:cs="Arial"/>
                <w:sz w:val="22"/>
                <w:szCs w:val="22"/>
                <w:lang w:val="en-US"/>
              </w:rPr>
              <w:t xml:space="preserve">practices among the local CSOs </w:t>
            </w:r>
            <w:r>
              <w:rPr>
                <w:rFonts w:asciiTheme="minorHAnsi" w:hAnsiTheme="minorHAnsi"/>
                <w:iCs/>
                <w:sz w:val="22"/>
                <w:szCs w:val="22"/>
              </w:rPr>
              <w:t xml:space="preserve">(see more details </w:t>
            </w:r>
            <w:hyperlink r:id="rId34" w:history="1">
              <w:r w:rsidRPr="00216C8C">
                <w:rPr>
                  <w:rStyle w:val="Hyperlink"/>
                  <w:rFonts w:asciiTheme="minorHAnsi" w:hAnsiTheme="minorHAnsi"/>
                  <w:iCs/>
                  <w:sz w:val="22"/>
                  <w:szCs w:val="22"/>
                </w:rPr>
                <w:t>by the link</w:t>
              </w:r>
            </w:hyperlink>
            <w:r>
              <w:rPr>
                <w:rFonts w:asciiTheme="minorHAnsi" w:hAnsiTheme="minorHAnsi"/>
                <w:iCs/>
                <w:sz w:val="22"/>
                <w:szCs w:val="22"/>
              </w:rPr>
              <w:t xml:space="preserve">). </w:t>
            </w:r>
          </w:p>
          <w:p w14:paraId="6E9554EB" w14:textId="77777777" w:rsidR="00B53557" w:rsidRPr="001A22D3" w:rsidRDefault="00B53557" w:rsidP="00B53557">
            <w:pPr>
              <w:widowControl w:val="0"/>
              <w:jc w:val="both"/>
              <w:rPr>
                <w:rFonts w:asciiTheme="minorHAnsi" w:hAnsiTheme="minorHAnsi"/>
                <w:iCs/>
                <w:sz w:val="22"/>
                <w:szCs w:val="22"/>
              </w:rPr>
            </w:pPr>
          </w:p>
        </w:tc>
      </w:tr>
      <w:tr w:rsidR="00B53557" w:rsidRPr="001A22D3" w14:paraId="7C674E33" w14:textId="77777777" w:rsidTr="001A2049">
        <w:tblPrEx>
          <w:tblBorders>
            <w:insideH w:val="single" w:sz="4" w:space="0" w:color="auto"/>
            <w:insideV w:val="single" w:sz="4" w:space="0" w:color="auto"/>
          </w:tblBorders>
        </w:tblPrEx>
        <w:trPr>
          <w:gridAfter w:val="2"/>
          <w:wAfter w:w="23" w:type="dxa"/>
          <w:trHeight w:val="559"/>
        </w:trPr>
        <w:tc>
          <w:tcPr>
            <w:tcW w:w="10142" w:type="dxa"/>
            <w:gridSpan w:val="4"/>
          </w:tcPr>
          <w:p w14:paraId="62952241" w14:textId="77777777" w:rsidR="00B53557" w:rsidRPr="001A22D3" w:rsidRDefault="00B53557" w:rsidP="00B53557">
            <w:pPr>
              <w:widowControl w:val="0"/>
              <w:rPr>
                <w:rFonts w:asciiTheme="minorHAnsi" w:hAnsiTheme="minorHAnsi"/>
                <w:b/>
                <w:sz w:val="22"/>
                <w:szCs w:val="22"/>
              </w:rPr>
            </w:pPr>
            <w:r w:rsidRPr="001A22D3">
              <w:rPr>
                <w:rFonts w:asciiTheme="minorHAnsi" w:hAnsiTheme="minorHAnsi"/>
                <w:b/>
                <w:sz w:val="22"/>
                <w:szCs w:val="22"/>
              </w:rPr>
              <w:t>14.  HRBA and Gender equality</w:t>
            </w:r>
          </w:p>
          <w:p w14:paraId="0E4FF773" w14:textId="77777777" w:rsidR="00B53557" w:rsidRPr="001A22D3" w:rsidRDefault="00B53557" w:rsidP="00B53557">
            <w:pPr>
              <w:pStyle w:val="Style11ptJustified"/>
              <w:rPr>
                <w:rFonts w:asciiTheme="minorHAnsi" w:hAnsiTheme="minorHAnsi"/>
                <w:sz w:val="22"/>
                <w:szCs w:val="22"/>
              </w:rPr>
            </w:pPr>
          </w:p>
          <w:p w14:paraId="2CD4B678" w14:textId="77777777" w:rsidR="00B53557" w:rsidRDefault="00B53557" w:rsidP="00B53557">
            <w:pPr>
              <w:pStyle w:val="Style11ptJustified"/>
              <w:rPr>
                <w:rFonts w:asciiTheme="minorHAnsi" w:hAnsiTheme="minorHAnsi"/>
                <w:sz w:val="22"/>
                <w:szCs w:val="22"/>
              </w:rPr>
            </w:pPr>
            <w:r>
              <w:rPr>
                <w:rFonts w:asciiTheme="minorHAnsi" w:hAnsiTheme="minorHAnsi"/>
                <w:sz w:val="22"/>
                <w:szCs w:val="22"/>
              </w:rPr>
              <w:t>HRBA and g</w:t>
            </w:r>
            <w:r w:rsidRPr="001A22D3">
              <w:rPr>
                <w:rFonts w:asciiTheme="minorHAnsi" w:hAnsiTheme="minorHAnsi"/>
                <w:sz w:val="22"/>
                <w:szCs w:val="22"/>
              </w:rPr>
              <w:t xml:space="preserve">ender </w:t>
            </w:r>
            <w:r>
              <w:rPr>
                <w:rFonts w:asciiTheme="minorHAnsi" w:hAnsiTheme="minorHAnsi"/>
                <w:sz w:val="22"/>
                <w:szCs w:val="22"/>
              </w:rPr>
              <w:t xml:space="preserve">mainstreaming </w:t>
            </w:r>
            <w:r w:rsidRPr="001A22D3">
              <w:rPr>
                <w:rFonts w:asciiTheme="minorHAnsi" w:hAnsiTheme="minorHAnsi"/>
                <w:sz w:val="22"/>
                <w:szCs w:val="22"/>
              </w:rPr>
              <w:t>w</w:t>
            </w:r>
            <w:r>
              <w:rPr>
                <w:rFonts w:asciiTheme="minorHAnsi" w:hAnsiTheme="minorHAnsi"/>
                <w:sz w:val="22"/>
                <w:szCs w:val="22"/>
              </w:rPr>
              <w:t>ere</w:t>
            </w:r>
            <w:r w:rsidRPr="001A22D3">
              <w:rPr>
                <w:rFonts w:asciiTheme="minorHAnsi" w:hAnsiTheme="minorHAnsi"/>
                <w:sz w:val="22"/>
                <w:szCs w:val="22"/>
              </w:rPr>
              <w:t xml:space="preserve"> addressed by DHRP </w:t>
            </w:r>
            <w:r>
              <w:rPr>
                <w:rFonts w:asciiTheme="minorHAnsi" w:hAnsiTheme="minorHAnsi"/>
                <w:sz w:val="22"/>
                <w:szCs w:val="22"/>
              </w:rPr>
              <w:t>via</w:t>
            </w:r>
            <w:r w:rsidRPr="001A22D3">
              <w:rPr>
                <w:rFonts w:asciiTheme="minorHAnsi" w:hAnsiTheme="minorHAnsi"/>
                <w:sz w:val="22"/>
                <w:szCs w:val="22"/>
              </w:rPr>
              <w:t xml:space="preserve"> </w:t>
            </w:r>
          </w:p>
          <w:p w14:paraId="7768DC34" w14:textId="2D60CCA2" w:rsidR="00B53557" w:rsidRPr="00B33E82" w:rsidRDefault="00B53557" w:rsidP="00B53557">
            <w:pPr>
              <w:pStyle w:val="Style11ptJustified"/>
              <w:numPr>
                <w:ilvl w:val="0"/>
                <w:numId w:val="6"/>
              </w:numPr>
              <w:rPr>
                <w:rFonts w:asciiTheme="minorHAnsi" w:hAnsiTheme="minorHAnsi"/>
                <w:sz w:val="22"/>
                <w:szCs w:val="22"/>
              </w:rPr>
            </w:pPr>
            <w:r w:rsidRPr="00B33E82">
              <w:rPr>
                <w:rFonts w:asciiTheme="minorHAnsi" w:hAnsiTheme="minorHAnsi"/>
                <w:i/>
                <w:sz w:val="22"/>
                <w:szCs w:val="22"/>
              </w:rPr>
              <w:t>Integrating gender and HRVS into grantees’ activities</w:t>
            </w:r>
            <w:r w:rsidRPr="00B33E82">
              <w:rPr>
                <w:rFonts w:asciiTheme="minorHAnsi" w:hAnsiTheme="minorHAnsi"/>
                <w:sz w:val="22"/>
                <w:szCs w:val="22"/>
              </w:rPr>
              <w:t>. DHRP continue</w:t>
            </w:r>
            <w:r w:rsidR="00A225A6">
              <w:rPr>
                <w:rFonts w:asciiTheme="minorHAnsi" w:hAnsiTheme="minorHAnsi"/>
                <w:sz w:val="22"/>
                <w:szCs w:val="22"/>
              </w:rPr>
              <w:t>s</w:t>
            </w:r>
            <w:r w:rsidRPr="00B33E82">
              <w:rPr>
                <w:rFonts w:asciiTheme="minorHAnsi" w:hAnsiTheme="minorHAnsi"/>
                <w:sz w:val="22"/>
                <w:szCs w:val="22"/>
              </w:rPr>
              <w:t xml:space="preserve"> to promote gender equality and awareness of HRBA and to request all the direct grantees incorporate gender and HRBA dimensions into their respective deliverables and project actions as well as to carry out gender-disaggregated monitoring. Among some of the examples are the DHRP-supported </w:t>
            </w:r>
            <w:r w:rsidRPr="00A225A6">
              <w:rPr>
                <w:rFonts w:asciiTheme="minorHAnsi" w:hAnsiTheme="minorHAnsi"/>
                <w:i/>
                <w:sz w:val="22"/>
                <w:szCs w:val="22"/>
              </w:rPr>
              <w:t>Justice for Peace in Donbas</w:t>
            </w:r>
            <w:r w:rsidRPr="00B33E82">
              <w:rPr>
                <w:rFonts w:asciiTheme="minorHAnsi" w:hAnsiTheme="minorHAnsi"/>
                <w:sz w:val="22"/>
                <w:szCs w:val="22"/>
              </w:rPr>
              <w:t xml:space="preserve"> Coalition</w:t>
            </w:r>
            <w:r w:rsidR="00A225A6">
              <w:rPr>
                <w:rFonts w:asciiTheme="minorHAnsi" w:hAnsiTheme="minorHAnsi"/>
                <w:sz w:val="22"/>
                <w:szCs w:val="22"/>
              </w:rPr>
              <w:t>,</w:t>
            </w:r>
            <w:r w:rsidRPr="00B33E82">
              <w:rPr>
                <w:rFonts w:asciiTheme="minorHAnsi" w:hAnsiTheme="minorHAnsi"/>
                <w:sz w:val="22"/>
                <w:szCs w:val="22"/>
              </w:rPr>
              <w:t xml:space="preserve"> which defined the documentation of gender-based violence cases as its strategic priority for 2016</w:t>
            </w:r>
            <w:r>
              <w:rPr>
                <w:rFonts w:asciiTheme="minorHAnsi" w:hAnsiTheme="minorHAnsi"/>
                <w:sz w:val="22"/>
                <w:szCs w:val="22"/>
              </w:rPr>
              <w:t xml:space="preserve"> and produced the thematic report “</w:t>
            </w:r>
            <w:hyperlink r:id="rId35" w:history="1">
              <w:r w:rsidRPr="00B4137C">
                <w:rPr>
                  <w:rStyle w:val="Hyperlink"/>
                  <w:rFonts w:asciiTheme="minorHAnsi" w:hAnsiTheme="minorHAnsi"/>
                  <w:sz w:val="22"/>
                  <w:szCs w:val="22"/>
                </w:rPr>
                <w:t>Unspoken pain</w:t>
              </w:r>
            </w:hyperlink>
            <w:r>
              <w:rPr>
                <w:rFonts w:asciiTheme="minorHAnsi" w:hAnsiTheme="minorHAnsi"/>
                <w:sz w:val="22"/>
                <w:szCs w:val="22"/>
              </w:rPr>
              <w:t>”</w:t>
            </w:r>
            <w:r w:rsidR="00A225A6">
              <w:rPr>
                <w:rFonts w:asciiTheme="minorHAnsi" w:hAnsiTheme="minorHAnsi"/>
                <w:sz w:val="22"/>
                <w:szCs w:val="22"/>
              </w:rPr>
              <w:t>.</w:t>
            </w:r>
            <w:r w:rsidRPr="00B33E82">
              <w:rPr>
                <w:rFonts w:asciiTheme="minorHAnsi" w:hAnsiTheme="minorHAnsi"/>
                <w:sz w:val="22"/>
                <w:szCs w:val="22"/>
              </w:rPr>
              <w:t xml:space="preserve"> </w:t>
            </w:r>
            <w:r w:rsidR="00A225A6">
              <w:rPr>
                <w:rFonts w:asciiTheme="minorHAnsi" w:hAnsiTheme="minorHAnsi"/>
                <w:sz w:val="22"/>
                <w:szCs w:val="22"/>
              </w:rPr>
              <w:t xml:space="preserve">In </w:t>
            </w:r>
            <w:r w:rsidRPr="00B33E82">
              <w:rPr>
                <w:rFonts w:asciiTheme="minorHAnsi" w:hAnsiTheme="minorHAnsi"/>
                <w:sz w:val="22"/>
                <w:szCs w:val="22"/>
              </w:rPr>
              <w:t>Lviv</w:t>
            </w:r>
            <w:r w:rsidR="00A225A6">
              <w:rPr>
                <w:rFonts w:asciiTheme="minorHAnsi" w:hAnsiTheme="minorHAnsi"/>
                <w:sz w:val="22"/>
                <w:szCs w:val="22"/>
              </w:rPr>
              <w:t>, the</w:t>
            </w:r>
            <w:r w:rsidRPr="00B33E82">
              <w:rPr>
                <w:rFonts w:asciiTheme="minorHAnsi" w:hAnsiTheme="minorHAnsi"/>
                <w:sz w:val="22"/>
                <w:szCs w:val="22"/>
              </w:rPr>
              <w:t xml:space="preserve"> CSO hub</w:t>
            </w:r>
            <w:r w:rsidR="00A225A6">
              <w:rPr>
                <w:rFonts w:asciiTheme="minorHAnsi" w:hAnsiTheme="minorHAnsi"/>
                <w:sz w:val="22"/>
                <w:szCs w:val="22"/>
              </w:rPr>
              <w:t>,</w:t>
            </w:r>
            <w:r w:rsidRPr="00B33E82">
              <w:rPr>
                <w:rFonts w:asciiTheme="minorHAnsi" w:hAnsiTheme="minorHAnsi"/>
                <w:sz w:val="22"/>
                <w:szCs w:val="22"/>
              </w:rPr>
              <w:t xml:space="preserve"> </w:t>
            </w:r>
            <w:r w:rsidRPr="00A225A6">
              <w:rPr>
                <w:rFonts w:asciiTheme="minorHAnsi" w:hAnsiTheme="minorHAnsi"/>
                <w:i/>
                <w:sz w:val="22"/>
                <w:szCs w:val="22"/>
              </w:rPr>
              <w:t>Women’s Perspectives Centre</w:t>
            </w:r>
            <w:r w:rsidRPr="00B33E82">
              <w:rPr>
                <w:rFonts w:asciiTheme="minorHAnsi" w:hAnsiTheme="minorHAnsi"/>
                <w:sz w:val="22"/>
                <w:szCs w:val="22"/>
              </w:rPr>
              <w:t xml:space="preserve"> support</w:t>
            </w:r>
            <w:r w:rsidR="00A225A6">
              <w:rPr>
                <w:rFonts w:asciiTheme="minorHAnsi" w:hAnsiTheme="minorHAnsi"/>
                <w:sz w:val="22"/>
                <w:szCs w:val="22"/>
              </w:rPr>
              <w:t>s</w:t>
            </w:r>
            <w:r w:rsidRPr="00B33E82">
              <w:rPr>
                <w:rFonts w:asciiTheme="minorHAnsi" w:hAnsiTheme="minorHAnsi"/>
                <w:sz w:val="22"/>
                <w:szCs w:val="22"/>
              </w:rPr>
              <w:t xml:space="preserve"> internally displaced female entrepreneurs to produce handmade goods in addition to conducting advocacy campaigns on preventing human trafficking and reducing violence against women.</w:t>
            </w:r>
          </w:p>
          <w:p w14:paraId="0CD4A317" w14:textId="0ECE383F" w:rsidR="00B53557" w:rsidRDefault="00B53557" w:rsidP="00B53557">
            <w:pPr>
              <w:pStyle w:val="Style11ptJustified"/>
              <w:numPr>
                <w:ilvl w:val="0"/>
                <w:numId w:val="6"/>
              </w:numPr>
              <w:rPr>
                <w:rFonts w:asciiTheme="minorHAnsi" w:hAnsiTheme="minorHAnsi"/>
                <w:sz w:val="22"/>
                <w:szCs w:val="22"/>
              </w:rPr>
            </w:pPr>
            <w:r>
              <w:rPr>
                <w:rFonts w:asciiTheme="minorHAnsi" w:hAnsiTheme="minorHAnsi"/>
                <w:i/>
                <w:sz w:val="22"/>
                <w:szCs w:val="22"/>
              </w:rPr>
              <w:t>Provid</w:t>
            </w:r>
            <w:r w:rsidR="00A225A6">
              <w:rPr>
                <w:rFonts w:asciiTheme="minorHAnsi" w:hAnsiTheme="minorHAnsi"/>
                <w:i/>
                <w:sz w:val="22"/>
                <w:szCs w:val="22"/>
              </w:rPr>
              <w:t>ing</w:t>
            </w:r>
            <w:r>
              <w:rPr>
                <w:rFonts w:asciiTheme="minorHAnsi" w:hAnsiTheme="minorHAnsi"/>
                <w:i/>
                <w:sz w:val="22"/>
                <w:szCs w:val="22"/>
              </w:rPr>
              <w:t xml:space="preserve"> s</w:t>
            </w:r>
            <w:r w:rsidRPr="00C2263F">
              <w:rPr>
                <w:rFonts w:asciiTheme="minorHAnsi" w:hAnsiTheme="minorHAnsi"/>
                <w:i/>
                <w:sz w:val="22"/>
                <w:szCs w:val="22"/>
              </w:rPr>
              <w:t xml:space="preserve">upport to </w:t>
            </w:r>
            <w:r>
              <w:rPr>
                <w:rFonts w:asciiTheme="minorHAnsi" w:hAnsiTheme="minorHAnsi"/>
                <w:i/>
                <w:sz w:val="22"/>
                <w:szCs w:val="22"/>
              </w:rPr>
              <w:t>civic</w:t>
            </w:r>
            <w:r w:rsidRPr="00C2263F">
              <w:rPr>
                <w:rFonts w:asciiTheme="minorHAnsi" w:hAnsiTheme="minorHAnsi"/>
                <w:i/>
                <w:sz w:val="22"/>
                <w:szCs w:val="22"/>
              </w:rPr>
              <w:t xml:space="preserve"> monitoring of the international human rights treaties</w:t>
            </w:r>
            <w:r>
              <w:rPr>
                <w:rFonts w:asciiTheme="minorHAnsi" w:hAnsiTheme="minorHAnsi"/>
                <w:sz w:val="22"/>
                <w:szCs w:val="22"/>
              </w:rPr>
              <w:t>.</w:t>
            </w:r>
            <w:r w:rsidRPr="00DF6B38">
              <w:rPr>
                <w:rFonts w:asciiTheme="minorHAnsi" w:hAnsiTheme="minorHAnsi"/>
                <w:sz w:val="22"/>
                <w:szCs w:val="22"/>
              </w:rPr>
              <w:t xml:space="preserve"> </w:t>
            </w:r>
            <w:r w:rsidRPr="00FB37DE">
              <w:rPr>
                <w:rFonts w:asciiTheme="minorHAnsi" w:hAnsiTheme="minorHAnsi"/>
                <w:sz w:val="22"/>
                <w:szCs w:val="22"/>
              </w:rPr>
              <w:t>DHRP supported the preparation of alternative</w:t>
            </w:r>
            <w:r>
              <w:rPr>
                <w:rFonts w:asciiTheme="minorHAnsi" w:hAnsiTheme="minorHAnsi"/>
                <w:sz w:val="22"/>
                <w:szCs w:val="22"/>
              </w:rPr>
              <w:t>/shadow</w:t>
            </w:r>
            <w:r w:rsidRPr="00FB37DE">
              <w:rPr>
                <w:rFonts w:asciiTheme="minorHAnsi" w:hAnsiTheme="minorHAnsi"/>
                <w:sz w:val="22"/>
                <w:szCs w:val="22"/>
              </w:rPr>
              <w:t xml:space="preserve"> report</w:t>
            </w:r>
            <w:r>
              <w:rPr>
                <w:rFonts w:asciiTheme="minorHAnsi" w:hAnsiTheme="minorHAnsi"/>
                <w:sz w:val="22"/>
                <w:szCs w:val="22"/>
              </w:rPr>
              <w:t>s</w:t>
            </w:r>
            <w:r w:rsidRPr="00FB37DE">
              <w:rPr>
                <w:rFonts w:asciiTheme="minorHAnsi" w:hAnsiTheme="minorHAnsi"/>
                <w:sz w:val="22"/>
                <w:szCs w:val="22"/>
              </w:rPr>
              <w:t xml:space="preserve"> on Ukraine’s compliance with the Convention on the Elimination of All Forms of Discrimination against Women (</w:t>
            </w:r>
            <w:hyperlink r:id="rId36" w:history="1">
              <w:r w:rsidRPr="00C45D42">
                <w:rPr>
                  <w:rStyle w:val="Hyperlink"/>
                  <w:rFonts w:asciiTheme="minorHAnsi" w:hAnsiTheme="minorHAnsi"/>
                  <w:sz w:val="22"/>
                  <w:szCs w:val="22"/>
                </w:rPr>
                <w:t>CEDAW</w:t>
              </w:r>
            </w:hyperlink>
            <w:r>
              <w:rPr>
                <w:rFonts w:asciiTheme="minorHAnsi" w:hAnsiTheme="minorHAnsi"/>
                <w:sz w:val="22"/>
                <w:szCs w:val="22"/>
              </w:rPr>
              <w:t xml:space="preserve"> in Ukrainian</w:t>
            </w:r>
            <w:r w:rsidR="00A225A6">
              <w:rPr>
                <w:rFonts w:asciiTheme="minorHAnsi" w:hAnsiTheme="minorHAnsi"/>
                <w:sz w:val="22"/>
                <w:szCs w:val="22"/>
              </w:rPr>
              <w:t>)</w:t>
            </w:r>
            <w:r>
              <w:rPr>
                <w:rFonts w:asciiTheme="minorHAnsi" w:hAnsiTheme="minorHAnsi"/>
                <w:sz w:val="22"/>
                <w:szCs w:val="22"/>
              </w:rPr>
              <w:t xml:space="preserve">, or </w:t>
            </w:r>
            <w:r w:rsidR="00A225A6">
              <w:rPr>
                <w:rFonts w:asciiTheme="minorHAnsi" w:hAnsiTheme="minorHAnsi"/>
                <w:sz w:val="22"/>
                <w:szCs w:val="22"/>
              </w:rPr>
              <w:t>(</w:t>
            </w:r>
            <w:r>
              <w:rPr>
                <w:rFonts w:asciiTheme="minorHAnsi" w:hAnsiTheme="minorHAnsi"/>
                <w:sz w:val="22"/>
                <w:szCs w:val="22"/>
              </w:rPr>
              <w:t>“</w:t>
            </w:r>
            <w:hyperlink r:id="rId37" w:history="1">
              <w:r w:rsidRPr="00C45D42">
                <w:rPr>
                  <w:rStyle w:val="Hyperlink"/>
                  <w:rFonts w:asciiTheme="minorHAnsi" w:hAnsiTheme="minorHAnsi"/>
                  <w:sz w:val="22"/>
                  <w:szCs w:val="22"/>
                </w:rPr>
                <w:t>List of issues</w:t>
              </w:r>
            </w:hyperlink>
            <w:r>
              <w:rPr>
                <w:rFonts w:asciiTheme="minorHAnsi" w:hAnsiTheme="minorHAnsi"/>
                <w:sz w:val="22"/>
                <w:szCs w:val="22"/>
              </w:rPr>
              <w:t>” in English</w:t>
            </w:r>
            <w:r w:rsidR="00A225A6">
              <w:rPr>
                <w:rFonts w:asciiTheme="minorHAnsi" w:hAnsiTheme="minorHAnsi"/>
                <w:sz w:val="22"/>
                <w:szCs w:val="22"/>
              </w:rPr>
              <w:t>),</w:t>
            </w:r>
            <w:r w:rsidRPr="00FB37DE">
              <w:rPr>
                <w:rFonts w:asciiTheme="minorHAnsi" w:hAnsiTheme="minorHAnsi"/>
                <w:sz w:val="22"/>
                <w:szCs w:val="22"/>
              </w:rPr>
              <w:t xml:space="preserve"> and the International Convention of the Elimination of Racial Discrimination (</w:t>
            </w:r>
            <w:hyperlink r:id="rId38" w:history="1">
              <w:r w:rsidRPr="00C45D42">
                <w:rPr>
                  <w:rStyle w:val="Hyperlink"/>
                  <w:rFonts w:asciiTheme="minorHAnsi" w:hAnsiTheme="minorHAnsi"/>
                  <w:sz w:val="22"/>
                  <w:szCs w:val="22"/>
                </w:rPr>
                <w:t>ICERD</w:t>
              </w:r>
            </w:hyperlink>
            <w:r w:rsidRPr="00FB37DE">
              <w:rPr>
                <w:rFonts w:asciiTheme="minorHAnsi" w:hAnsiTheme="minorHAnsi"/>
                <w:sz w:val="22"/>
                <w:szCs w:val="22"/>
              </w:rPr>
              <w:t>). DHRP-supported coalition</w:t>
            </w:r>
            <w:r w:rsidR="00A225A6">
              <w:rPr>
                <w:rFonts w:asciiTheme="minorHAnsi" w:hAnsiTheme="minorHAnsi"/>
                <w:sz w:val="22"/>
                <w:szCs w:val="22"/>
              </w:rPr>
              <w:t>s</w:t>
            </w:r>
            <w:r w:rsidRPr="00FB37DE">
              <w:rPr>
                <w:rFonts w:asciiTheme="minorHAnsi" w:hAnsiTheme="minorHAnsi"/>
                <w:sz w:val="22"/>
                <w:szCs w:val="22"/>
              </w:rPr>
              <w:t xml:space="preserve"> of CSOs prepared overarching documents covering all areas of the Conventions, giving attention to issues that concern the most vulnerable and marginalized groups, namely rural women, Roma people, Crimea Tatar people, Crimean Ukrainians, IDPs and other groups.</w:t>
            </w:r>
          </w:p>
          <w:p w14:paraId="548167EB" w14:textId="46FBC49E" w:rsidR="00B53557" w:rsidRDefault="00B53557" w:rsidP="00B53557">
            <w:pPr>
              <w:pStyle w:val="Style11ptJustified"/>
              <w:numPr>
                <w:ilvl w:val="0"/>
                <w:numId w:val="6"/>
              </w:numPr>
              <w:rPr>
                <w:rFonts w:asciiTheme="minorHAnsi" w:hAnsiTheme="minorHAnsi"/>
                <w:sz w:val="22"/>
                <w:szCs w:val="22"/>
              </w:rPr>
            </w:pPr>
            <w:r w:rsidRPr="00DC1DF2">
              <w:rPr>
                <w:rFonts w:asciiTheme="minorHAnsi" w:hAnsiTheme="minorHAnsi"/>
                <w:i/>
                <w:sz w:val="22"/>
                <w:szCs w:val="22"/>
              </w:rPr>
              <w:t>Raising awareness and building CSOs capacities in HRBA</w:t>
            </w:r>
            <w:r w:rsidRPr="00DC1DF2">
              <w:rPr>
                <w:rFonts w:asciiTheme="minorHAnsi" w:hAnsiTheme="minorHAnsi"/>
                <w:sz w:val="22"/>
                <w:szCs w:val="22"/>
              </w:rPr>
              <w:t>.</w:t>
            </w:r>
            <w:r>
              <w:t xml:space="preserve"> A </w:t>
            </w:r>
            <w:hyperlink r:id="rId39" w:history="1">
              <w:r w:rsidRPr="004E73AC">
                <w:rPr>
                  <w:rStyle w:val="Hyperlink"/>
                  <w:rFonts w:asciiTheme="minorHAnsi" w:hAnsiTheme="minorHAnsi"/>
                  <w:sz w:val="22"/>
                  <w:szCs w:val="22"/>
                </w:rPr>
                <w:t>5-day HRBA workshop</w:t>
              </w:r>
            </w:hyperlink>
            <w:r w:rsidRPr="00DC1DF2">
              <w:rPr>
                <w:rFonts w:asciiTheme="minorHAnsi" w:hAnsiTheme="minorHAnsi"/>
                <w:sz w:val="22"/>
                <w:szCs w:val="22"/>
              </w:rPr>
              <w:t xml:space="preserve"> was conducted for all 8 CSO hubs in April 2016 to introduce them into the HRBA topic by Chernihiv hub with the support of DHRP. Additionally, </w:t>
            </w:r>
            <w:r w:rsidR="00D61469">
              <w:rPr>
                <w:rFonts w:asciiTheme="minorHAnsi" w:hAnsiTheme="minorHAnsi"/>
                <w:sz w:val="22"/>
                <w:szCs w:val="22"/>
              </w:rPr>
              <w:t xml:space="preserve">the </w:t>
            </w:r>
            <w:r>
              <w:rPr>
                <w:rFonts w:asciiTheme="minorHAnsi" w:hAnsiTheme="minorHAnsi"/>
                <w:sz w:val="22"/>
                <w:szCs w:val="22"/>
              </w:rPr>
              <w:t>hubs</w:t>
            </w:r>
            <w:r w:rsidRPr="00DC1DF2">
              <w:rPr>
                <w:rFonts w:asciiTheme="minorHAnsi" w:hAnsiTheme="minorHAnsi"/>
                <w:sz w:val="22"/>
                <w:szCs w:val="22"/>
              </w:rPr>
              <w:t xml:space="preserve"> were exposed to the international hands-on workshop on HRBA application in CSOs’ work as well as participated in a webinar on the theory of change designed with consideration of the gender mainstreaming principles, which was organised within the Regional Capacity Development Component of the Programme for CSOs from Belarus, Moldova</w:t>
            </w:r>
            <w:r w:rsidR="00D61469">
              <w:rPr>
                <w:rFonts w:asciiTheme="minorHAnsi" w:hAnsiTheme="minorHAnsi"/>
                <w:sz w:val="22"/>
                <w:szCs w:val="22"/>
              </w:rPr>
              <w:t>,</w:t>
            </w:r>
            <w:r w:rsidRPr="00DC1DF2">
              <w:rPr>
                <w:rFonts w:asciiTheme="minorHAnsi" w:hAnsiTheme="minorHAnsi"/>
                <w:sz w:val="22"/>
                <w:szCs w:val="22"/>
              </w:rPr>
              <w:t xml:space="preserve"> and Ukraine.</w:t>
            </w:r>
            <w:r w:rsidRPr="00965DAB">
              <w:rPr>
                <w:rFonts w:asciiTheme="minorHAnsi" w:hAnsiTheme="minorHAnsi"/>
                <w:sz w:val="22"/>
                <w:szCs w:val="22"/>
              </w:rPr>
              <w:t xml:space="preserve"> </w:t>
            </w:r>
          </w:p>
          <w:p w14:paraId="72946F2B" w14:textId="7237FD51" w:rsidR="00B53557" w:rsidRDefault="00B53557" w:rsidP="00B53557">
            <w:pPr>
              <w:pStyle w:val="Style11ptJustified"/>
              <w:numPr>
                <w:ilvl w:val="0"/>
                <w:numId w:val="6"/>
              </w:numPr>
              <w:rPr>
                <w:rFonts w:asciiTheme="minorHAnsi" w:hAnsiTheme="minorHAnsi"/>
                <w:sz w:val="22"/>
                <w:szCs w:val="22"/>
              </w:rPr>
            </w:pPr>
            <w:r w:rsidRPr="000A4636">
              <w:rPr>
                <w:rFonts w:asciiTheme="minorHAnsi" w:hAnsiTheme="minorHAnsi"/>
                <w:sz w:val="22"/>
                <w:szCs w:val="22"/>
              </w:rPr>
              <w:t>More systemically</w:t>
            </w:r>
            <w:r>
              <w:t xml:space="preserve">, </w:t>
            </w:r>
            <w:r w:rsidRPr="000A4636">
              <w:rPr>
                <w:rFonts w:asciiTheme="minorHAnsi" w:hAnsiTheme="minorHAnsi"/>
                <w:sz w:val="22"/>
                <w:szCs w:val="22"/>
              </w:rPr>
              <w:t xml:space="preserve">a </w:t>
            </w:r>
            <w:hyperlink r:id="rId40" w:history="1">
              <w:r w:rsidRPr="000A4636">
                <w:rPr>
                  <w:rStyle w:val="Hyperlink"/>
                  <w:rFonts w:asciiTheme="minorHAnsi" w:hAnsiTheme="minorHAnsi"/>
                  <w:sz w:val="22"/>
                  <w:szCs w:val="22"/>
                </w:rPr>
                <w:t xml:space="preserve">training </w:t>
              </w:r>
              <w:r w:rsidR="00D61469">
                <w:rPr>
                  <w:rStyle w:val="Hyperlink"/>
                  <w:rFonts w:asciiTheme="minorHAnsi" w:hAnsiTheme="minorHAnsi"/>
                  <w:sz w:val="22"/>
                  <w:szCs w:val="22"/>
                </w:rPr>
                <w:t>session for</w:t>
              </w:r>
              <w:r w:rsidRPr="000A4636">
                <w:rPr>
                  <w:rStyle w:val="Hyperlink"/>
                  <w:rFonts w:asciiTheme="minorHAnsi" w:hAnsiTheme="minorHAnsi"/>
                  <w:sz w:val="22"/>
                  <w:szCs w:val="22"/>
                </w:rPr>
                <w:t xml:space="preserve"> 18 trainers</w:t>
              </w:r>
            </w:hyperlink>
            <w:r w:rsidRPr="000A4636">
              <w:rPr>
                <w:rFonts w:asciiTheme="minorHAnsi" w:hAnsiTheme="minorHAnsi"/>
                <w:sz w:val="22"/>
                <w:szCs w:val="22"/>
              </w:rPr>
              <w:t xml:space="preserve"> w</w:t>
            </w:r>
            <w:r w:rsidR="00D61469">
              <w:rPr>
                <w:rFonts w:asciiTheme="minorHAnsi" w:hAnsiTheme="minorHAnsi"/>
                <w:sz w:val="22"/>
                <w:szCs w:val="22"/>
              </w:rPr>
              <w:t>as</w:t>
            </w:r>
            <w:r w:rsidRPr="000A4636">
              <w:rPr>
                <w:rFonts w:asciiTheme="minorHAnsi" w:hAnsiTheme="minorHAnsi"/>
                <w:sz w:val="22"/>
                <w:szCs w:val="22"/>
              </w:rPr>
              <w:t xml:space="preserve"> conducted on HRBA for the CSO hubs organised with support of the CSO MART to help them acquire the necessary skills and knowledge transfer knowledge </w:t>
            </w:r>
            <w:r w:rsidR="00163C44">
              <w:rPr>
                <w:rFonts w:asciiTheme="minorHAnsi" w:hAnsiTheme="minorHAnsi"/>
                <w:sz w:val="22"/>
                <w:szCs w:val="22"/>
              </w:rPr>
              <w:t>from</w:t>
            </w:r>
            <w:r w:rsidRPr="000A4636">
              <w:rPr>
                <w:rFonts w:asciiTheme="minorHAnsi" w:hAnsiTheme="minorHAnsi"/>
                <w:sz w:val="22"/>
                <w:szCs w:val="22"/>
              </w:rPr>
              <w:t xml:space="preserve"> HRBA to the other CSOs in their regions. It is expected that trainers from the CSO hubs, who were equipped with trainers' guides and training materials, will further conduct their own trainings in the</w:t>
            </w:r>
            <w:r w:rsidR="00163C44">
              <w:rPr>
                <w:rFonts w:asciiTheme="minorHAnsi" w:hAnsiTheme="minorHAnsi"/>
                <w:sz w:val="22"/>
                <w:szCs w:val="22"/>
              </w:rPr>
              <w:t>ir</w:t>
            </w:r>
            <w:r w:rsidRPr="000A4636">
              <w:rPr>
                <w:rFonts w:asciiTheme="minorHAnsi" w:hAnsiTheme="minorHAnsi"/>
                <w:sz w:val="22"/>
                <w:szCs w:val="22"/>
              </w:rPr>
              <w:t xml:space="preserve"> regions in early 2017</w:t>
            </w:r>
            <w:r w:rsidR="00163C44">
              <w:rPr>
                <w:rFonts w:asciiTheme="minorHAnsi" w:hAnsiTheme="minorHAnsi"/>
                <w:sz w:val="22"/>
                <w:szCs w:val="22"/>
              </w:rPr>
              <w:t>,</w:t>
            </w:r>
            <w:r w:rsidRPr="000A4636">
              <w:rPr>
                <w:rFonts w:asciiTheme="minorHAnsi" w:hAnsiTheme="minorHAnsi"/>
                <w:sz w:val="22"/>
                <w:szCs w:val="22"/>
              </w:rPr>
              <w:t xml:space="preserve"> </w:t>
            </w:r>
            <w:r w:rsidRPr="000A4636">
              <w:rPr>
                <w:rFonts w:asciiTheme="minorHAnsi" w:hAnsiTheme="minorHAnsi"/>
                <w:sz w:val="22"/>
                <w:szCs w:val="22"/>
                <w:lang w:val="en-US"/>
              </w:rPr>
              <w:t xml:space="preserve">reaching </w:t>
            </w:r>
            <w:r w:rsidRPr="000A4636">
              <w:rPr>
                <w:rFonts w:asciiTheme="minorHAnsi" w:hAnsiTheme="minorHAnsi"/>
                <w:sz w:val="22"/>
                <w:szCs w:val="22"/>
              </w:rPr>
              <w:t xml:space="preserve">up to 200 representatives of smaller CSOs. </w:t>
            </w:r>
            <w:r>
              <w:rPr>
                <w:rFonts w:asciiTheme="minorHAnsi" w:hAnsiTheme="minorHAnsi"/>
                <w:sz w:val="22"/>
                <w:szCs w:val="22"/>
              </w:rPr>
              <w:t xml:space="preserve">Later, the trainers organised subnational trainings on HRBA for CSOs from their regions. In total, 8 trainings were conducted with 160 participants selected from their partner networks and the </w:t>
            </w:r>
            <w:hyperlink r:id="rId41" w:history="1">
              <w:r w:rsidRPr="00667E9E">
                <w:rPr>
                  <w:rStyle w:val="Hyperlink"/>
                  <w:rFonts w:asciiTheme="minorHAnsi" w:hAnsiTheme="minorHAnsi"/>
                  <w:sz w:val="22"/>
                  <w:szCs w:val="22"/>
                </w:rPr>
                <w:t>open call</w:t>
              </w:r>
            </w:hyperlink>
            <w:r>
              <w:rPr>
                <w:rFonts w:asciiTheme="minorHAnsi" w:hAnsiTheme="minorHAnsi"/>
                <w:sz w:val="22"/>
                <w:szCs w:val="22"/>
              </w:rPr>
              <w:t xml:space="preserve"> at UNDP website. After the trainings, DHRP disseminated the questionnaire survey among the training participants to define future course of action in integrating the approach into everyday practices at the local level. </w:t>
            </w:r>
          </w:p>
          <w:p w14:paraId="74E7D1C4" w14:textId="3D07E2CC" w:rsidR="00B53557" w:rsidRPr="00110AA4" w:rsidRDefault="00B53557" w:rsidP="00B53557">
            <w:pPr>
              <w:pStyle w:val="Style11ptJustified"/>
              <w:ind w:left="720"/>
              <w:rPr>
                <w:rFonts w:asciiTheme="minorHAnsi" w:hAnsiTheme="minorHAnsi"/>
                <w:sz w:val="22"/>
                <w:szCs w:val="22"/>
              </w:rPr>
            </w:pPr>
          </w:p>
        </w:tc>
      </w:tr>
      <w:tr w:rsidR="00B53557" w:rsidRPr="001A22D3" w14:paraId="0A7B8A0F" w14:textId="77777777" w:rsidTr="001A2049">
        <w:tblPrEx>
          <w:tblBorders>
            <w:insideH w:val="single" w:sz="4" w:space="0" w:color="auto"/>
            <w:insideV w:val="single" w:sz="4" w:space="0" w:color="auto"/>
          </w:tblBorders>
        </w:tblPrEx>
        <w:trPr>
          <w:gridAfter w:val="2"/>
          <w:wAfter w:w="23" w:type="dxa"/>
          <w:trHeight w:val="864"/>
        </w:trPr>
        <w:tc>
          <w:tcPr>
            <w:tcW w:w="10142" w:type="dxa"/>
            <w:gridSpan w:val="4"/>
          </w:tcPr>
          <w:p w14:paraId="2230006D" w14:textId="77777777" w:rsidR="00B53557" w:rsidRPr="001A22D3" w:rsidRDefault="00B53557" w:rsidP="00B53557">
            <w:pPr>
              <w:widowControl w:val="0"/>
              <w:rPr>
                <w:rFonts w:asciiTheme="minorHAnsi" w:hAnsiTheme="minorHAnsi"/>
                <w:b/>
                <w:sz w:val="22"/>
                <w:szCs w:val="22"/>
              </w:rPr>
            </w:pPr>
            <w:r w:rsidRPr="001A22D3">
              <w:rPr>
                <w:rFonts w:asciiTheme="minorHAnsi" w:hAnsiTheme="minorHAnsi"/>
                <w:b/>
                <w:sz w:val="22"/>
                <w:szCs w:val="22"/>
              </w:rPr>
              <w:t>15. 'Added Value' and Advisory from contract partners</w:t>
            </w:r>
          </w:p>
          <w:p w14:paraId="268D1FDA" w14:textId="77777777" w:rsidR="00B53557" w:rsidRPr="001A22D3" w:rsidRDefault="00B53557" w:rsidP="00B53557">
            <w:pPr>
              <w:widowControl w:val="0"/>
              <w:rPr>
                <w:rFonts w:asciiTheme="minorHAnsi" w:hAnsiTheme="minorHAnsi"/>
                <w:i/>
                <w:sz w:val="22"/>
                <w:szCs w:val="22"/>
              </w:rPr>
            </w:pPr>
            <w:r w:rsidRPr="001A22D3">
              <w:rPr>
                <w:rFonts w:asciiTheme="minorHAnsi" w:hAnsiTheme="minorHAnsi"/>
                <w:i/>
                <w:sz w:val="22"/>
                <w:szCs w:val="22"/>
              </w:rPr>
              <w:t>Provide examples of how the contract partners have provided "added value" to their partner(s)</w:t>
            </w:r>
          </w:p>
          <w:p w14:paraId="0F0BC843" w14:textId="77777777" w:rsidR="00B53557" w:rsidRPr="001A22D3" w:rsidRDefault="00B53557" w:rsidP="00B53557">
            <w:pPr>
              <w:widowControl w:val="0"/>
              <w:rPr>
                <w:rFonts w:asciiTheme="minorHAnsi" w:hAnsiTheme="minorHAnsi"/>
                <w:sz w:val="22"/>
                <w:szCs w:val="22"/>
              </w:rPr>
            </w:pPr>
          </w:p>
          <w:p w14:paraId="520E728D" w14:textId="68FDFB64" w:rsidR="00B53557" w:rsidRDefault="00E526A2" w:rsidP="00B53557">
            <w:pPr>
              <w:widowControl w:val="0"/>
              <w:jc w:val="both"/>
              <w:rPr>
                <w:rFonts w:asciiTheme="minorHAnsi" w:hAnsiTheme="minorHAnsi"/>
                <w:sz w:val="22"/>
                <w:szCs w:val="22"/>
              </w:rPr>
            </w:pPr>
            <w:r>
              <w:rPr>
                <w:rFonts w:asciiTheme="minorHAnsi" w:hAnsiTheme="minorHAnsi" w:cstheme="minorHAnsi"/>
                <w:sz w:val="22"/>
                <w:szCs w:val="22"/>
              </w:rPr>
              <w:t>O</w:t>
            </w:r>
            <w:r w:rsidR="00B53557">
              <w:rPr>
                <w:rFonts w:asciiTheme="minorHAnsi" w:hAnsiTheme="minorHAnsi" w:cstheme="minorHAnsi"/>
                <w:sz w:val="22"/>
                <w:szCs w:val="22"/>
              </w:rPr>
              <w:t>n 2016,</w:t>
            </w:r>
            <w:r>
              <w:rPr>
                <w:rFonts w:asciiTheme="minorHAnsi" w:hAnsiTheme="minorHAnsi" w:cstheme="minorHAnsi"/>
                <w:sz w:val="22"/>
                <w:szCs w:val="22"/>
              </w:rPr>
              <w:t xml:space="preserve"> the</w:t>
            </w:r>
            <w:r w:rsidR="00B53557">
              <w:rPr>
                <w:rFonts w:asciiTheme="minorHAnsi" w:hAnsiTheme="minorHAnsi" w:cstheme="minorHAnsi"/>
                <w:sz w:val="22"/>
                <w:szCs w:val="22"/>
              </w:rPr>
              <w:t xml:space="preserve"> m</w:t>
            </w:r>
            <w:r w:rsidR="00B53557" w:rsidRPr="007734E0">
              <w:rPr>
                <w:rFonts w:asciiTheme="minorHAnsi" w:hAnsiTheme="minorHAnsi"/>
                <w:sz w:val="22"/>
                <w:szCs w:val="22"/>
              </w:rPr>
              <w:t xml:space="preserve">ethodology for the civic literacy test was initially designed by PACT Inc for Belarus combining national representative polling and a series of focus groups to study three pillars of knowledge, competencies and values under the </w:t>
            </w:r>
            <w:hyperlink r:id="rId42" w:history="1">
              <w:r w:rsidR="00B53557" w:rsidRPr="007734E0">
                <w:rPr>
                  <w:rStyle w:val="Hyperlink"/>
                  <w:rFonts w:asciiTheme="minorHAnsi" w:hAnsiTheme="minorHAnsi"/>
                  <w:sz w:val="22"/>
                  <w:szCs w:val="22"/>
                </w:rPr>
                <w:t>21</w:t>
              </w:r>
              <w:r w:rsidR="00B53557" w:rsidRPr="007734E0">
                <w:rPr>
                  <w:rStyle w:val="Hyperlink"/>
                  <w:rFonts w:asciiTheme="minorHAnsi" w:hAnsiTheme="minorHAnsi"/>
                  <w:sz w:val="22"/>
                  <w:szCs w:val="22"/>
                  <w:vertAlign w:val="superscript"/>
                </w:rPr>
                <w:t>st</w:t>
              </w:r>
              <w:r w:rsidR="00B53557" w:rsidRPr="007734E0">
                <w:rPr>
                  <w:rStyle w:val="Hyperlink"/>
                  <w:rFonts w:asciiTheme="minorHAnsi" w:hAnsiTheme="minorHAnsi"/>
                  <w:sz w:val="22"/>
                  <w:szCs w:val="22"/>
                </w:rPr>
                <w:t xml:space="preserve"> Century Citizenship concept</w:t>
              </w:r>
            </w:hyperlink>
            <w:r w:rsidR="00B53557" w:rsidRPr="007734E0">
              <w:rPr>
                <w:rFonts w:asciiTheme="minorHAnsi" w:hAnsiTheme="minorHAnsi"/>
                <w:sz w:val="22"/>
                <w:szCs w:val="22"/>
              </w:rPr>
              <w:t>: 1) Civic literacy; 2) Global citizenship; and 3) Digital Citizenship.</w:t>
            </w:r>
            <w:r w:rsidR="00B53557">
              <w:rPr>
                <w:rFonts w:asciiTheme="minorHAnsi" w:hAnsiTheme="minorHAnsi"/>
                <w:sz w:val="22"/>
                <w:szCs w:val="22"/>
              </w:rPr>
              <w:t xml:space="preserve"> </w:t>
            </w:r>
            <w:r w:rsidR="00B53557" w:rsidRPr="007734E0">
              <w:rPr>
                <w:rFonts w:asciiTheme="minorHAnsi" w:hAnsiTheme="minorHAnsi"/>
                <w:sz w:val="22"/>
                <w:szCs w:val="22"/>
              </w:rPr>
              <w:t xml:space="preserve">The idea was further developed and upgraded to the regional level </w:t>
            </w:r>
            <w:r w:rsidR="00B53557">
              <w:rPr>
                <w:rFonts w:asciiTheme="minorHAnsi" w:hAnsiTheme="minorHAnsi"/>
                <w:sz w:val="22"/>
                <w:szCs w:val="22"/>
              </w:rPr>
              <w:t xml:space="preserve">by UNDP </w:t>
            </w:r>
            <w:r w:rsidR="00B53557" w:rsidRPr="007734E0">
              <w:rPr>
                <w:rFonts w:asciiTheme="minorHAnsi" w:hAnsiTheme="minorHAnsi"/>
                <w:sz w:val="22"/>
                <w:szCs w:val="22"/>
              </w:rPr>
              <w:t>within the framework of the DMFA-funded three-country (Belarus, Moldova, Ukraine) Human Rights and Democratization Program</w:t>
            </w:r>
            <w:r w:rsidR="00B53557">
              <w:rPr>
                <w:rFonts w:asciiTheme="minorHAnsi" w:hAnsiTheme="minorHAnsi"/>
                <w:sz w:val="22"/>
                <w:szCs w:val="22"/>
              </w:rPr>
              <w:t>. UNDP Ukraine</w:t>
            </w:r>
            <w:r w:rsidR="009F1586">
              <w:rPr>
                <w:rFonts w:asciiTheme="minorHAnsi" w:hAnsiTheme="minorHAnsi"/>
                <w:sz w:val="22"/>
                <w:szCs w:val="22"/>
              </w:rPr>
              <w:t>,</w:t>
            </w:r>
            <w:r w:rsidR="00B53557">
              <w:rPr>
                <w:rFonts w:asciiTheme="minorHAnsi" w:hAnsiTheme="minorHAnsi"/>
                <w:sz w:val="22"/>
                <w:szCs w:val="22"/>
              </w:rPr>
              <w:t xml:space="preserve"> </w:t>
            </w:r>
            <w:r w:rsidR="00B53557" w:rsidRPr="007734E0">
              <w:rPr>
                <w:rFonts w:asciiTheme="minorHAnsi" w:hAnsiTheme="minorHAnsi"/>
                <w:sz w:val="22"/>
                <w:szCs w:val="22"/>
              </w:rPr>
              <w:t>after consultations with Pact</w:t>
            </w:r>
            <w:r w:rsidR="009F1586">
              <w:rPr>
                <w:rFonts w:asciiTheme="minorHAnsi" w:hAnsiTheme="minorHAnsi"/>
                <w:sz w:val="22"/>
                <w:szCs w:val="22"/>
              </w:rPr>
              <w:t>,</w:t>
            </w:r>
            <w:r w:rsidR="00B53557" w:rsidRPr="007734E0">
              <w:rPr>
                <w:rFonts w:asciiTheme="minorHAnsi" w:hAnsiTheme="minorHAnsi"/>
                <w:sz w:val="22"/>
                <w:szCs w:val="22"/>
              </w:rPr>
              <w:t xml:space="preserve"> included the Civic Literacy Test idea into the suggested list of common activities for three countries. The idea was supported and included into the overall regional activity plan for 2016. </w:t>
            </w:r>
          </w:p>
          <w:p w14:paraId="0F4D7E9E" w14:textId="77777777" w:rsidR="00B53557" w:rsidRDefault="00B53557" w:rsidP="00B53557">
            <w:pPr>
              <w:widowControl w:val="0"/>
              <w:jc w:val="both"/>
              <w:rPr>
                <w:rFonts w:asciiTheme="minorHAnsi" w:hAnsiTheme="minorHAnsi"/>
                <w:sz w:val="22"/>
                <w:szCs w:val="22"/>
              </w:rPr>
            </w:pPr>
          </w:p>
          <w:p w14:paraId="2AFF1C63" w14:textId="527E114D" w:rsidR="00B53557" w:rsidRPr="007734E0" w:rsidRDefault="00B53557" w:rsidP="00B53557">
            <w:pPr>
              <w:widowControl w:val="0"/>
              <w:jc w:val="both"/>
              <w:rPr>
                <w:rFonts w:asciiTheme="minorHAnsi" w:hAnsiTheme="minorHAnsi"/>
                <w:sz w:val="22"/>
                <w:szCs w:val="22"/>
              </w:rPr>
            </w:pPr>
            <w:r w:rsidRPr="007734E0">
              <w:rPr>
                <w:rFonts w:asciiTheme="minorHAnsi" w:hAnsiTheme="minorHAnsi"/>
                <w:sz w:val="22"/>
                <w:szCs w:val="22"/>
              </w:rPr>
              <w:t xml:space="preserve">While the survey questions used </w:t>
            </w:r>
            <w:r>
              <w:rPr>
                <w:rFonts w:asciiTheme="minorHAnsi" w:hAnsiTheme="minorHAnsi"/>
                <w:sz w:val="22"/>
                <w:szCs w:val="22"/>
              </w:rPr>
              <w:t xml:space="preserve">for three countries were </w:t>
            </w:r>
            <w:r w:rsidRPr="007734E0">
              <w:rPr>
                <w:rFonts w:asciiTheme="minorHAnsi" w:hAnsiTheme="minorHAnsi"/>
                <w:sz w:val="22"/>
                <w:szCs w:val="22"/>
              </w:rPr>
              <w:t xml:space="preserve">inherently different for </w:t>
            </w:r>
            <w:r w:rsidR="009F1586">
              <w:rPr>
                <w:rFonts w:asciiTheme="minorHAnsi" w:hAnsiTheme="minorHAnsi"/>
                <w:sz w:val="22"/>
                <w:szCs w:val="22"/>
              </w:rPr>
              <w:t>each of them</w:t>
            </w:r>
            <w:r w:rsidRPr="007734E0">
              <w:rPr>
                <w:rFonts w:asciiTheme="minorHAnsi" w:hAnsiTheme="minorHAnsi"/>
                <w:sz w:val="22"/>
                <w:szCs w:val="22"/>
              </w:rPr>
              <w:t>, a common framework approach to the hands-on research was adopted, thus making the idea of a cross-country comparison possible. Connection between Pact’s research design</w:t>
            </w:r>
            <w:r w:rsidR="009F1586">
              <w:rPr>
                <w:rFonts w:asciiTheme="minorHAnsi" w:hAnsiTheme="minorHAnsi"/>
                <w:sz w:val="22"/>
                <w:szCs w:val="22"/>
              </w:rPr>
              <w:t>,</w:t>
            </w:r>
            <w:r w:rsidRPr="007734E0">
              <w:rPr>
                <w:rFonts w:asciiTheme="minorHAnsi" w:hAnsiTheme="minorHAnsi"/>
                <w:sz w:val="22"/>
                <w:szCs w:val="22"/>
              </w:rPr>
              <w:t xml:space="preserve"> and UNDP-suggested modification</w:t>
            </w:r>
            <w:r w:rsidR="009F1586">
              <w:rPr>
                <w:rFonts w:asciiTheme="minorHAnsi" w:hAnsiTheme="minorHAnsi"/>
                <w:sz w:val="22"/>
                <w:szCs w:val="22"/>
              </w:rPr>
              <w:t>s</w:t>
            </w:r>
            <w:r w:rsidRPr="007734E0">
              <w:rPr>
                <w:rFonts w:asciiTheme="minorHAnsi" w:hAnsiTheme="minorHAnsi"/>
                <w:sz w:val="22"/>
                <w:szCs w:val="22"/>
              </w:rPr>
              <w:t xml:space="preserve"> of the survey for Ukraine and Moldova w</w:t>
            </w:r>
            <w:r w:rsidR="009F1586">
              <w:rPr>
                <w:rFonts w:asciiTheme="minorHAnsi" w:hAnsiTheme="minorHAnsi"/>
                <w:sz w:val="22"/>
                <w:szCs w:val="22"/>
              </w:rPr>
              <w:t>ere</w:t>
            </w:r>
            <w:r w:rsidRPr="007734E0">
              <w:rPr>
                <w:rFonts w:asciiTheme="minorHAnsi" w:hAnsiTheme="minorHAnsi"/>
                <w:sz w:val="22"/>
                <w:szCs w:val="22"/>
              </w:rPr>
              <w:t xml:space="preserve"> ensured</w:t>
            </w:r>
            <w:r w:rsidR="009F1586">
              <w:rPr>
                <w:rFonts w:asciiTheme="minorHAnsi" w:hAnsiTheme="minorHAnsi"/>
                <w:sz w:val="22"/>
                <w:szCs w:val="22"/>
              </w:rPr>
              <w:t>,</w:t>
            </w:r>
            <w:r w:rsidRPr="007734E0">
              <w:rPr>
                <w:rFonts w:asciiTheme="minorHAnsi" w:hAnsiTheme="minorHAnsi"/>
                <w:sz w:val="22"/>
                <w:szCs w:val="22"/>
              </w:rPr>
              <w:t xml:space="preserve"> and sociological research was deployed in Ukraine and Moldova under the overall guidance of UNDP Ukraine. </w:t>
            </w:r>
            <w:r>
              <w:rPr>
                <w:rFonts w:asciiTheme="minorHAnsi" w:hAnsiTheme="minorHAnsi"/>
                <w:sz w:val="22"/>
                <w:szCs w:val="22"/>
              </w:rPr>
              <w:t xml:space="preserve">As </w:t>
            </w:r>
            <w:r w:rsidRPr="007734E0">
              <w:rPr>
                <w:rFonts w:asciiTheme="minorHAnsi" w:hAnsiTheme="minorHAnsi"/>
                <w:sz w:val="22"/>
                <w:szCs w:val="22"/>
              </w:rPr>
              <w:t xml:space="preserve">a result of wider data collection exercises, </w:t>
            </w:r>
            <w:r>
              <w:rPr>
                <w:rFonts w:asciiTheme="minorHAnsi" w:hAnsiTheme="minorHAnsi"/>
                <w:sz w:val="22"/>
                <w:szCs w:val="22"/>
              </w:rPr>
              <w:t xml:space="preserve">the data collected for three countries was compared, allowing to define </w:t>
            </w:r>
            <w:r w:rsidRPr="007734E0">
              <w:rPr>
                <w:rFonts w:asciiTheme="minorHAnsi" w:hAnsiTheme="minorHAnsi"/>
                <w:sz w:val="22"/>
                <w:szCs w:val="22"/>
              </w:rPr>
              <w:t>common and divergent tendencies in civic literacy while looking at the wider picture</w:t>
            </w:r>
            <w:r>
              <w:rPr>
                <w:rFonts w:asciiTheme="minorHAnsi" w:hAnsiTheme="minorHAnsi"/>
                <w:sz w:val="22"/>
                <w:szCs w:val="22"/>
              </w:rPr>
              <w:t xml:space="preserve"> </w:t>
            </w:r>
            <w:r w:rsidRPr="00486FD4">
              <w:rPr>
                <w:rFonts w:asciiTheme="minorHAnsi" w:hAnsiTheme="minorHAnsi" w:cs="Arial"/>
                <w:bCs/>
                <w:sz w:val="22"/>
                <w:szCs w:val="22"/>
              </w:rPr>
              <w:t>(for more details please</w:t>
            </w:r>
            <w:r>
              <w:rPr>
                <w:rFonts w:asciiTheme="minorHAnsi" w:hAnsiTheme="minorHAnsi" w:cs="Arial"/>
                <w:bCs/>
                <w:sz w:val="22"/>
                <w:szCs w:val="22"/>
              </w:rPr>
              <w:t xml:space="preserve"> see the progress </w:t>
            </w:r>
            <w:r w:rsidRPr="00486FD4">
              <w:rPr>
                <w:rFonts w:asciiTheme="minorHAnsi" w:hAnsiTheme="minorHAnsi" w:cs="Arial"/>
                <w:bCs/>
                <w:sz w:val="22"/>
                <w:szCs w:val="22"/>
              </w:rPr>
              <w:t>report</w:t>
            </w:r>
            <w:r>
              <w:rPr>
                <w:rFonts w:asciiTheme="minorHAnsi" w:hAnsiTheme="minorHAnsi" w:cs="Arial"/>
                <w:bCs/>
                <w:sz w:val="22"/>
                <w:szCs w:val="22"/>
              </w:rPr>
              <w:t xml:space="preserve"> for the Regional Component</w:t>
            </w:r>
            <w:r w:rsidRPr="00486FD4">
              <w:rPr>
                <w:rFonts w:asciiTheme="minorHAnsi" w:hAnsiTheme="minorHAnsi" w:cs="Arial"/>
                <w:bCs/>
                <w:sz w:val="22"/>
                <w:szCs w:val="22"/>
              </w:rPr>
              <w:t>)</w:t>
            </w:r>
            <w:r w:rsidRPr="007734E0">
              <w:rPr>
                <w:rFonts w:asciiTheme="minorHAnsi" w:hAnsiTheme="minorHAnsi"/>
                <w:sz w:val="22"/>
                <w:szCs w:val="22"/>
              </w:rPr>
              <w:t>.</w:t>
            </w:r>
          </w:p>
          <w:p w14:paraId="17F0C328" w14:textId="77777777" w:rsidR="00B53557" w:rsidRPr="001A22D3" w:rsidRDefault="00B53557" w:rsidP="00B53557">
            <w:pPr>
              <w:widowControl w:val="0"/>
              <w:rPr>
                <w:rFonts w:asciiTheme="minorHAnsi" w:hAnsiTheme="minorHAnsi"/>
                <w:sz w:val="22"/>
                <w:szCs w:val="22"/>
              </w:rPr>
            </w:pPr>
            <w:r w:rsidRPr="007734E0">
              <w:rPr>
                <w:rFonts w:asciiTheme="minorHAnsi" w:hAnsiTheme="minorHAnsi"/>
                <w:sz w:val="22"/>
                <w:szCs w:val="22"/>
              </w:rPr>
              <w:t xml:space="preserve"> </w:t>
            </w:r>
          </w:p>
        </w:tc>
      </w:tr>
      <w:tr w:rsidR="00B53557" w:rsidRPr="001A22D3" w14:paraId="520BC2BF" w14:textId="77777777" w:rsidTr="001A2049">
        <w:tblPrEx>
          <w:tblBorders>
            <w:insideH w:val="single" w:sz="4" w:space="0" w:color="auto"/>
            <w:insideV w:val="single" w:sz="4" w:space="0" w:color="auto"/>
          </w:tblBorders>
        </w:tblPrEx>
        <w:trPr>
          <w:gridAfter w:val="2"/>
          <w:wAfter w:w="23" w:type="dxa"/>
          <w:trHeight w:val="521"/>
        </w:trPr>
        <w:tc>
          <w:tcPr>
            <w:tcW w:w="10142" w:type="dxa"/>
            <w:gridSpan w:val="4"/>
          </w:tcPr>
          <w:p w14:paraId="406C2197" w14:textId="77777777" w:rsidR="00B53557" w:rsidRPr="001906DF" w:rsidRDefault="00B53557" w:rsidP="00B53557">
            <w:pPr>
              <w:widowControl w:val="0"/>
              <w:rPr>
                <w:rFonts w:asciiTheme="minorHAnsi" w:hAnsiTheme="minorHAnsi" w:cs="Arial"/>
                <w:b/>
                <w:bCs/>
                <w:sz w:val="22"/>
                <w:szCs w:val="22"/>
              </w:rPr>
            </w:pPr>
            <w:r w:rsidRPr="001906DF">
              <w:rPr>
                <w:rFonts w:asciiTheme="minorHAnsi" w:hAnsiTheme="minorHAnsi" w:cs="Arial"/>
                <w:b/>
                <w:bCs/>
                <w:sz w:val="22"/>
                <w:szCs w:val="22"/>
              </w:rPr>
              <w:t>16. Lessons learned</w:t>
            </w:r>
          </w:p>
          <w:p w14:paraId="0F5163EB" w14:textId="62A1B9B3" w:rsidR="00B53557" w:rsidRPr="001906DF" w:rsidRDefault="00B53557" w:rsidP="00B53557">
            <w:pPr>
              <w:widowControl w:val="0"/>
              <w:rPr>
                <w:rStyle w:val="Style11pt"/>
                <w:rFonts w:asciiTheme="minorHAnsi" w:hAnsiTheme="minorHAnsi"/>
                <w:sz w:val="22"/>
                <w:szCs w:val="22"/>
              </w:rPr>
            </w:pPr>
            <w:r w:rsidRPr="001906DF">
              <w:rPr>
                <w:rFonts w:asciiTheme="minorHAnsi" w:hAnsiTheme="minorHAnsi"/>
                <w:i/>
                <w:sz w:val="22"/>
                <w:szCs w:val="22"/>
              </w:rPr>
              <w:t>Mention</w:t>
            </w:r>
            <w:r>
              <w:rPr>
                <w:rFonts w:asciiTheme="minorHAnsi" w:hAnsiTheme="minorHAnsi"/>
                <w:i/>
                <w:sz w:val="22"/>
                <w:szCs w:val="22"/>
              </w:rPr>
              <w:t xml:space="preserve"> </w:t>
            </w:r>
            <w:r w:rsidRPr="001906DF">
              <w:rPr>
                <w:rFonts w:asciiTheme="minorHAnsi" w:hAnsiTheme="minorHAnsi"/>
                <w:i/>
                <w:sz w:val="22"/>
                <w:szCs w:val="22"/>
              </w:rPr>
              <w:t xml:space="preserve">1-3 important lesson learned during the reporting period. </w:t>
            </w:r>
            <w:r w:rsidRPr="001906DF">
              <w:rPr>
                <w:rStyle w:val="Style11pt"/>
                <w:rFonts w:asciiTheme="minorHAnsi" w:hAnsiTheme="minorHAnsi"/>
                <w:sz w:val="22"/>
                <w:szCs w:val="22"/>
              </w:rPr>
              <w:t xml:space="preserve"> </w:t>
            </w:r>
          </w:p>
          <w:p w14:paraId="4072DB7A" w14:textId="77777777" w:rsidR="00B53557" w:rsidRPr="001906DF" w:rsidRDefault="00B53557" w:rsidP="00B53557">
            <w:pPr>
              <w:pStyle w:val="Normal1"/>
              <w:widowControl w:val="0"/>
              <w:spacing w:after="0" w:line="240" w:lineRule="auto"/>
              <w:jc w:val="both"/>
              <w:rPr>
                <w:rFonts w:asciiTheme="minorHAnsi" w:eastAsia="Times New Roman" w:hAnsiTheme="minorHAnsi" w:cs="Arial"/>
                <w:bCs/>
                <w:color w:val="auto"/>
                <w:szCs w:val="22"/>
                <w:lang w:val="en-GB" w:eastAsia="da-DK"/>
              </w:rPr>
            </w:pPr>
          </w:p>
          <w:p w14:paraId="0EC19288" w14:textId="0C58B905" w:rsidR="00B53557" w:rsidRDefault="00B53557" w:rsidP="00B53557">
            <w:pPr>
              <w:pStyle w:val="ListParagraph"/>
              <w:numPr>
                <w:ilvl w:val="0"/>
                <w:numId w:val="7"/>
              </w:numPr>
              <w:ind w:left="360" w:hanging="270"/>
              <w:jc w:val="both"/>
              <w:rPr>
                <w:rFonts w:asciiTheme="minorHAnsi" w:hAnsiTheme="minorHAnsi"/>
                <w:sz w:val="22"/>
                <w:szCs w:val="22"/>
              </w:rPr>
            </w:pPr>
            <w:r>
              <w:rPr>
                <w:rFonts w:asciiTheme="minorHAnsi" w:hAnsiTheme="minorHAnsi"/>
                <w:sz w:val="22"/>
                <w:szCs w:val="22"/>
              </w:rPr>
              <w:t>CSO Hubs</w:t>
            </w:r>
            <w:r w:rsidR="00C429BC">
              <w:rPr>
                <w:rFonts w:asciiTheme="minorHAnsi" w:hAnsiTheme="minorHAnsi"/>
                <w:sz w:val="22"/>
                <w:szCs w:val="22"/>
              </w:rPr>
              <w:t>’</w:t>
            </w:r>
            <w:r>
              <w:rPr>
                <w:rFonts w:asciiTheme="minorHAnsi" w:hAnsiTheme="minorHAnsi"/>
                <w:sz w:val="22"/>
                <w:szCs w:val="22"/>
              </w:rPr>
              <w:t xml:space="preserve"> institutional development approach of DHRP was successful according to their final assessment and external evaluation results. However, few important lessons will be incorporated in future programming, particularly related to the duration of the institutional development (should be longer than 1.5 years),</w:t>
            </w:r>
            <w:r w:rsidR="00C429BC">
              <w:rPr>
                <w:rFonts w:asciiTheme="minorHAnsi" w:hAnsiTheme="minorHAnsi"/>
                <w:sz w:val="22"/>
                <w:szCs w:val="22"/>
              </w:rPr>
              <w:t xml:space="preserve"> and </w:t>
            </w:r>
            <w:r>
              <w:rPr>
                <w:rFonts w:asciiTheme="minorHAnsi" w:hAnsiTheme="minorHAnsi"/>
                <w:sz w:val="22"/>
                <w:szCs w:val="22"/>
              </w:rPr>
              <w:t xml:space="preserve"> working with CSOs’ staff to support institutional changes and stabilizing CSOs networks and results. </w:t>
            </w:r>
          </w:p>
          <w:p w14:paraId="6705D08A" w14:textId="1A3C367A" w:rsidR="00B53557" w:rsidRPr="009C1EDC" w:rsidRDefault="00B53557" w:rsidP="00B53557">
            <w:pPr>
              <w:pStyle w:val="ListParagraph"/>
              <w:numPr>
                <w:ilvl w:val="0"/>
                <w:numId w:val="7"/>
              </w:numPr>
              <w:ind w:left="360" w:hanging="270"/>
              <w:jc w:val="both"/>
              <w:rPr>
                <w:rFonts w:asciiTheme="minorHAnsi" w:hAnsiTheme="minorHAnsi"/>
                <w:sz w:val="22"/>
                <w:szCs w:val="22"/>
              </w:rPr>
            </w:pPr>
            <w:r w:rsidRPr="001906DF">
              <w:rPr>
                <w:rFonts w:asciiTheme="minorHAnsi" w:hAnsiTheme="minorHAnsi"/>
                <w:sz w:val="22"/>
                <w:szCs w:val="22"/>
              </w:rPr>
              <w:t xml:space="preserve">More investment is necessary into </w:t>
            </w:r>
            <w:r w:rsidR="00C429BC">
              <w:rPr>
                <w:rFonts w:asciiTheme="minorHAnsi" w:hAnsiTheme="minorHAnsi"/>
                <w:sz w:val="22"/>
                <w:szCs w:val="22"/>
              </w:rPr>
              <w:t xml:space="preserve">the </w:t>
            </w:r>
            <w:r w:rsidR="00406EDB">
              <w:rPr>
                <w:rFonts w:asciiTheme="minorHAnsi" w:hAnsiTheme="minorHAnsi"/>
                <w:sz w:val="22"/>
                <w:szCs w:val="22"/>
              </w:rPr>
              <w:t>capacity building</w:t>
            </w:r>
            <w:r w:rsidR="00406EDB" w:rsidRPr="001906DF">
              <w:rPr>
                <w:rFonts w:asciiTheme="minorHAnsi" w:hAnsiTheme="minorHAnsi"/>
                <w:sz w:val="22"/>
                <w:szCs w:val="22"/>
              </w:rPr>
              <w:t xml:space="preserve"> </w:t>
            </w:r>
            <w:r w:rsidRPr="001906DF">
              <w:rPr>
                <w:rFonts w:asciiTheme="minorHAnsi" w:hAnsiTheme="minorHAnsi"/>
                <w:sz w:val="22"/>
                <w:szCs w:val="22"/>
              </w:rPr>
              <w:t>of local-level CSOs</w:t>
            </w:r>
            <w:r>
              <w:rPr>
                <w:rFonts w:asciiTheme="minorHAnsi" w:hAnsiTheme="minorHAnsi"/>
                <w:sz w:val="22"/>
                <w:szCs w:val="22"/>
              </w:rPr>
              <w:t xml:space="preserve"> and citizen awareness. The experience</w:t>
            </w:r>
            <w:r w:rsidRPr="001906DF">
              <w:rPr>
                <w:rFonts w:asciiTheme="minorHAnsi" w:hAnsiTheme="minorHAnsi"/>
                <w:sz w:val="22"/>
                <w:szCs w:val="22"/>
              </w:rPr>
              <w:t xml:space="preserve"> has shown that regional- and local-level CSOs engaged professionally into the promotion of</w:t>
            </w:r>
            <w:r w:rsidR="00C429BC">
              <w:rPr>
                <w:rFonts w:asciiTheme="minorHAnsi" w:hAnsiTheme="minorHAnsi"/>
                <w:sz w:val="22"/>
                <w:szCs w:val="22"/>
              </w:rPr>
              <w:t xml:space="preserve"> the </w:t>
            </w:r>
            <w:r w:rsidR="00C429BC" w:rsidRPr="001906DF">
              <w:rPr>
                <w:rFonts w:asciiTheme="minorHAnsi" w:hAnsiTheme="minorHAnsi"/>
                <w:sz w:val="22"/>
                <w:szCs w:val="22"/>
              </w:rPr>
              <w:t>reform</w:t>
            </w:r>
            <w:r w:rsidRPr="001906DF">
              <w:rPr>
                <w:rFonts w:asciiTheme="minorHAnsi" w:hAnsiTheme="minorHAnsi"/>
                <w:sz w:val="22"/>
                <w:szCs w:val="22"/>
              </w:rPr>
              <w:t xml:space="preserve"> agenda </w:t>
            </w:r>
            <w:r w:rsidR="00C429BC">
              <w:rPr>
                <w:rFonts w:asciiTheme="minorHAnsi" w:hAnsiTheme="minorHAnsi"/>
                <w:sz w:val="22"/>
                <w:szCs w:val="22"/>
              </w:rPr>
              <w:t xml:space="preserve">to be </w:t>
            </w:r>
            <w:r w:rsidRPr="001906DF">
              <w:rPr>
                <w:rFonts w:asciiTheme="minorHAnsi" w:hAnsiTheme="minorHAnsi"/>
                <w:sz w:val="22"/>
                <w:szCs w:val="22"/>
              </w:rPr>
              <w:t>quite scarce. At the same time, there is a genuine interest among Ukrainian CSOs to engage in public monitoring of authorities’ performance at the local level, which will onl</w:t>
            </w:r>
            <w:r>
              <w:rPr>
                <w:rFonts w:asciiTheme="minorHAnsi" w:hAnsiTheme="minorHAnsi"/>
                <w:sz w:val="22"/>
                <w:szCs w:val="22"/>
              </w:rPr>
              <w:t>y gain in importance</w:t>
            </w:r>
            <w:r w:rsidRPr="001906DF">
              <w:rPr>
                <w:rFonts w:asciiTheme="minorHAnsi" w:hAnsiTheme="minorHAnsi"/>
                <w:sz w:val="22"/>
                <w:szCs w:val="22"/>
              </w:rPr>
              <w:t xml:space="preserve"> of the ongoing administrative and fiscal decentralization process. </w:t>
            </w:r>
          </w:p>
          <w:p w14:paraId="54AECAC9" w14:textId="664BB359" w:rsidR="00B53557" w:rsidRDefault="00B53557" w:rsidP="00B53557">
            <w:pPr>
              <w:pStyle w:val="ListParagraph"/>
              <w:numPr>
                <w:ilvl w:val="0"/>
                <w:numId w:val="7"/>
              </w:numPr>
              <w:ind w:left="360" w:hanging="270"/>
              <w:jc w:val="both"/>
              <w:rPr>
                <w:rFonts w:asciiTheme="minorHAnsi" w:hAnsiTheme="minorHAnsi"/>
                <w:sz w:val="22"/>
                <w:szCs w:val="22"/>
              </w:rPr>
            </w:pPr>
            <w:r w:rsidRPr="009C1EDC">
              <w:rPr>
                <w:rFonts w:asciiTheme="minorHAnsi" w:hAnsiTheme="minorHAnsi"/>
                <w:sz w:val="22"/>
                <w:szCs w:val="22"/>
              </w:rPr>
              <w:t>Despite the fact that Ukraine is a signatory of a number of international conventions on gender equality and women’s rights</w:t>
            </w:r>
            <w:r w:rsidR="00C429BC">
              <w:rPr>
                <w:rFonts w:asciiTheme="minorHAnsi" w:hAnsiTheme="minorHAnsi"/>
                <w:sz w:val="22"/>
                <w:szCs w:val="22"/>
              </w:rPr>
              <w:t>,</w:t>
            </w:r>
            <w:r w:rsidRPr="009C1EDC">
              <w:rPr>
                <w:rFonts w:asciiTheme="minorHAnsi" w:hAnsiTheme="minorHAnsi"/>
                <w:sz w:val="22"/>
                <w:szCs w:val="22"/>
              </w:rPr>
              <w:t xml:space="preserve"> and has a national policy and legal frameworks in place that guarantee equality for men and women, their implementation has been poor. Further strengthening of capacities of civil society organizations as “watch-dogs” </w:t>
            </w:r>
            <w:r w:rsidR="00C429BC">
              <w:rPr>
                <w:rFonts w:asciiTheme="minorHAnsi" w:hAnsiTheme="minorHAnsi"/>
                <w:sz w:val="22"/>
                <w:szCs w:val="22"/>
              </w:rPr>
              <w:t>are</w:t>
            </w:r>
            <w:r w:rsidRPr="009C1EDC">
              <w:rPr>
                <w:rFonts w:asciiTheme="minorHAnsi" w:hAnsiTheme="minorHAnsi"/>
                <w:sz w:val="22"/>
                <w:szCs w:val="22"/>
              </w:rPr>
              <w:t xml:space="preserve"> needed to monitor and push the Government toward</w:t>
            </w:r>
            <w:r w:rsidR="00C429BC">
              <w:rPr>
                <w:rFonts w:asciiTheme="minorHAnsi" w:hAnsiTheme="minorHAnsi"/>
                <w:sz w:val="22"/>
                <w:szCs w:val="22"/>
              </w:rPr>
              <w:t xml:space="preserve"> the</w:t>
            </w:r>
            <w:r w:rsidRPr="009C1EDC">
              <w:rPr>
                <w:rFonts w:asciiTheme="minorHAnsi" w:hAnsiTheme="minorHAnsi"/>
                <w:sz w:val="22"/>
                <w:szCs w:val="22"/>
              </w:rPr>
              <w:t xml:space="preserve"> implementation of these obligations and defending human rights from a gender perspective. </w:t>
            </w:r>
          </w:p>
          <w:p w14:paraId="495113E2" w14:textId="1B0AC51A" w:rsidR="00B53557" w:rsidRPr="009C1EDC" w:rsidRDefault="00C429BC" w:rsidP="00B53557">
            <w:pPr>
              <w:pStyle w:val="ListParagraph"/>
              <w:numPr>
                <w:ilvl w:val="0"/>
                <w:numId w:val="7"/>
              </w:numPr>
              <w:ind w:left="360" w:hanging="270"/>
              <w:jc w:val="both"/>
              <w:rPr>
                <w:rFonts w:asciiTheme="minorHAnsi" w:hAnsiTheme="minorHAnsi"/>
                <w:sz w:val="22"/>
                <w:szCs w:val="22"/>
              </w:rPr>
            </w:pPr>
            <w:r>
              <w:rPr>
                <w:rFonts w:asciiTheme="minorHAnsi" w:hAnsiTheme="minorHAnsi"/>
                <w:sz w:val="22"/>
                <w:szCs w:val="22"/>
              </w:rPr>
              <w:t>A h</w:t>
            </w:r>
            <w:r w:rsidR="00B53557" w:rsidRPr="001906DF">
              <w:rPr>
                <w:rFonts w:asciiTheme="minorHAnsi" w:hAnsiTheme="minorHAnsi"/>
                <w:sz w:val="22"/>
                <w:szCs w:val="22"/>
              </w:rPr>
              <w:t>uman rights based approach</w:t>
            </w:r>
            <w:r>
              <w:rPr>
                <w:rFonts w:asciiTheme="minorHAnsi" w:hAnsiTheme="minorHAnsi"/>
                <w:sz w:val="22"/>
                <w:szCs w:val="22"/>
              </w:rPr>
              <w:t>,</w:t>
            </w:r>
            <w:r w:rsidR="00B53557" w:rsidRPr="001906DF">
              <w:rPr>
                <w:rFonts w:asciiTheme="minorHAnsi" w:hAnsiTheme="minorHAnsi"/>
                <w:sz w:val="22"/>
                <w:szCs w:val="22"/>
              </w:rPr>
              <w:t xml:space="preserve"> and gender mainstreaming are still </w:t>
            </w:r>
            <w:r w:rsidR="00B53557">
              <w:rPr>
                <w:rFonts w:asciiTheme="minorHAnsi" w:hAnsiTheme="minorHAnsi"/>
                <w:sz w:val="22"/>
                <w:szCs w:val="22"/>
              </w:rPr>
              <w:t>considered to be</w:t>
            </w:r>
            <w:r w:rsidR="00B53557" w:rsidRPr="001906DF">
              <w:rPr>
                <w:rFonts w:asciiTheme="minorHAnsi" w:hAnsiTheme="minorHAnsi"/>
                <w:sz w:val="22"/>
                <w:szCs w:val="22"/>
              </w:rPr>
              <w:t xml:space="preserve"> novel approaches even for such advanced CSOs as UNDP-supported regional hubs. Time and human resources are necessary to have this approach strongly rooted in everyday activities of CSOs to further contribute to strengthening democracy and human rights in society as</w:t>
            </w:r>
            <w:r w:rsidR="006A2276">
              <w:rPr>
                <w:rFonts w:asciiTheme="minorHAnsi" w:hAnsiTheme="minorHAnsi"/>
                <w:sz w:val="22"/>
                <w:szCs w:val="22"/>
              </w:rPr>
              <w:t xml:space="preserve"> a</w:t>
            </w:r>
            <w:r w:rsidR="00B53557" w:rsidRPr="001906DF">
              <w:rPr>
                <w:rFonts w:asciiTheme="minorHAnsi" w:hAnsiTheme="minorHAnsi"/>
                <w:sz w:val="22"/>
                <w:szCs w:val="22"/>
              </w:rPr>
              <w:t xml:space="preserve"> means to achieve the Sustainable Development Goals.</w:t>
            </w:r>
          </w:p>
          <w:p w14:paraId="115ABE80" w14:textId="073847BF" w:rsidR="00B53557" w:rsidRPr="001906DF" w:rsidRDefault="00B53557" w:rsidP="00B53557">
            <w:pPr>
              <w:pStyle w:val="ListParagraph"/>
              <w:numPr>
                <w:ilvl w:val="0"/>
                <w:numId w:val="7"/>
              </w:numPr>
              <w:ind w:left="360" w:hanging="270"/>
              <w:jc w:val="both"/>
              <w:rPr>
                <w:rFonts w:asciiTheme="minorHAnsi" w:hAnsiTheme="minorHAnsi"/>
                <w:sz w:val="22"/>
                <w:szCs w:val="22"/>
              </w:rPr>
            </w:pPr>
            <w:r w:rsidRPr="001906DF">
              <w:rPr>
                <w:rFonts w:asciiTheme="minorHAnsi" w:hAnsiTheme="minorHAnsi"/>
                <w:sz w:val="22"/>
                <w:szCs w:val="22"/>
              </w:rPr>
              <w:t xml:space="preserve"> The programme has significantly built</w:t>
            </w:r>
            <w:r w:rsidR="007D009B">
              <w:rPr>
                <w:rFonts w:asciiTheme="minorHAnsi" w:hAnsiTheme="minorHAnsi"/>
                <w:sz w:val="22"/>
                <w:szCs w:val="22"/>
              </w:rPr>
              <w:t xml:space="preserve"> the</w:t>
            </w:r>
            <w:r w:rsidRPr="001906DF">
              <w:rPr>
                <w:rFonts w:asciiTheme="minorHAnsi" w:hAnsiTheme="minorHAnsi"/>
                <w:sz w:val="22"/>
                <w:szCs w:val="22"/>
              </w:rPr>
              <w:t xml:space="preserve"> capacities of selected regional mid-sized hub CSOs outside the capital</w:t>
            </w:r>
            <w:r w:rsidR="007D009B">
              <w:rPr>
                <w:rFonts w:asciiTheme="minorHAnsi" w:hAnsiTheme="minorHAnsi"/>
                <w:sz w:val="22"/>
                <w:szCs w:val="22"/>
              </w:rPr>
              <w:t>,</w:t>
            </w:r>
            <w:r w:rsidRPr="001906DF">
              <w:rPr>
                <w:rFonts w:asciiTheme="minorHAnsi" w:hAnsiTheme="minorHAnsi"/>
                <w:sz w:val="22"/>
                <w:szCs w:val="22"/>
              </w:rPr>
              <w:t xml:space="preserve"> and major cities to serve as regional leaders (expert </w:t>
            </w:r>
            <w:r w:rsidR="009E0CA6">
              <w:rPr>
                <w:rFonts w:asciiTheme="minorHAnsi" w:hAnsiTheme="minorHAnsi"/>
                <w:sz w:val="22"/>
                <w:szCs w:val="22"/>
              </w:rPr>
              <w:t xml:space="preserve">capacity-building </w:t>
            </w:r>
            <w:r w:rsidRPr="001906DF">
              <w:rPr>
                <w:rFonts w:asciiTheme="minorHAnsi" w:hAnsiTheme="minorHAnsi"/>
                <w:sz w:val="22"/>
                <w:szCs w:val="22"/>
              </w:rPr>
              <w:t xml:space="preserve">hubs). Despite areas that still require improvement or change, the approach has worked well and needs to be replicated to the other regions of Ukraine along with further enhancing the hubs’ network for stronger impact. </w:t>
            </w:r>
          </w:p>
          <w:p w14:paraId="12618B9B" w14:textId="77777777" w:rsidR="00B53557" w:rsidRPr="001906DF" w:rsidRDefault="00B53557" w:rsidP="00B53557">
            <w:pPr>
              <w:pStyle w:val="ListParagraph"/>
              <w:numPr>
                <w:ilvl w:val="0"/>
                <w:numId w:val="7"/>
              </w:numPr>
              <w:ind w:left="360" w:hanging="270"/>
              <w:jc w:val="both"/>
              <w:rPr>
                <w:rFonts w:asciiTheme="minorHAnsi" w:hAnsiTheme="minorHAnsi"/>
                <w:sz w:val="22"/>
                <w:szCs w:val="22"/>
              </w:rPr>
            </w:pPr>
            <w:r w:rsidRPr="001906DF">
              <w:rPr>
                <w:rFonts w:asciiTheme="minorHAnsi" w:hAnsiTheme="minorHAnsi"/>
                <w:sz w:val="22"/>
                <w:szCs w:val="22"/>
              </w:rPr>
              <w:t xml:space="preserve">The DHRP-advocated approach of ‘demonopolization’ of civil society niches and sectors is to be intensified. Networks and coalitions of small and mid-sized CSOs in different sectors need to be nurtured to ensure emergence of additional CSO players in the field and break up the status-quo of de facto monopolies. </w:t>
            </w:r>
          </w:p>
          <w:p w14:paraId="0BEE5A52" w14:textId="77777777" w:rsidR="00B53557" w:rsidRPr="009C1EDC" w:rsidRDefault="00B53557" w:rsidP="00B53557">
            <w:pPr>
              <w:ind w:left="90"/>
              <w:jc w:val="both"/>
              <w:rPr>
                <w:rFonts w:asciiTheme="minorHAnsi" w:hAnsiTheme="minorHAnsi"/>
                <w:sz w:val="22"/>
                <w:szCs w:val="22"/>
              </w:rPr>
            </w:pPr>
          </w:p>
        </w:tc>
      </w:tr>
      <w:tr w:rsidR="00B53557" w:rsidRPr="001A22D3" w14:paraId="4A341AC7" w14:textId="77777777" w:rsidTr="001A2049">
        <w:tblPrEx>
          <w:tblBorders>
            <w:insideH w:val="single" w:sz="4" w:space="0" w:color="auto"/>
            <w:insideV w:val="single" w:sz="4" w:space="0" w:color="auto"/>
          </w:tblBorders>
        </w:tblPrEx>
        <w:trPr>
          <w:gridAfter w:val="2"/>
          <w:wAfter w:w="23" w:type="dxa"/>
          <w:trHeight w:val="838"/>
        </w:trPr>
        <w:tc>
          <w:tcPr>
            <w:tcW w:w="10142" w:type="dxa"/>
            <w:gridSpan w:val="4"/>
          </w:tcPr>
          <w:p w14:paraId="283AF3C1" w14:textId="424AEC63" w:rsidR="00B53557" w:rsidRPr="00486FD4" w:rsidRDefault="00B53557" w:rsidP="00B53557">
            <w:pPr>
              <w:widowControl w:val="0"/>
              <w:rPr>
                <w:rFonts w:asciiTheme="minorHAnsi" w:hAnsiTheme="minorHAnsi" w:cs="Arial"/>
                <w:b/>
                <w:bCs/>
                <w:sz w:val="22"/>
                <w:szCs w:val="22"/>
              </w:rPr>
            </w:pPr>
            <w:r w:rsidRPr="001A22D3">
              <w:rPr>
                <w:rFonts w:asciiTheme="minorHAnsi" w:hAnsiTheme="minorHAnsi" w:cs="Arial"/>
                <w:b/>
                <w:bCs/>
                <w:sz w:val="22"/>
                <w:szCs w:val="22"/>
              </w:rPr>
              <w:t>17</w:t>
            </w:r>
            <w:r w:rsidRPr="00486FD4">
              <w:rPr>
                <w:rFonts w:asciiTheme="minorHAnsi" w:hAnsiTheme="minorHAnsi" w:cs="Arial"/>
                <w:b/>
                <w:bCs/>
                <w:sz w:val="22"/>
                <w:szCs w:val="22"/>
              </w:rPr>
              <w:t>. Partners involvement in regional</w:t>
            </w:r>
            <w:r w:rsidR="00484078">
              <w:rPr>
                <w:rFonts w:asciiTheme="minorHAnsi" w:hAnsiTheme="minorHAnsi" w:cs="Arial"/>
                <w:b/>
                <w:bCs/>
                <w:sz w:val="22"/>
                <w:szCs w:val="22"/>
              </w:rPr>
              <w:t>/global</w:t>
            </w:r>
            <w:r w:rsidRPr="00486FD4">
              <w:rPr>
                <w:rFonts w:asciiTheme="minorHAnsi" w:hAnsiTheme="minorHAnsi" w:cs="Arial"/>
                <w:b/>
                <w:bCs/>
                <w:sz w:val="22"/>
                <w:szCs w:val="22"/>
              </w:rPr>
              <w:t xml:space="preserve"> activities</w:t>
            </w:r>
          </w:p>
          <w:p w14:paraId="78A5E8D5" w14:textId="77777777" w:rsidR="00B53557" w:rsidRPr="00486FD4" w:rsidRDefault="00B53557" w:rsidP="00B53557">
            <w:pPr>
              <w:widowControl w:val="0"/>
              <w:jc w:val="both"/>
              <w:rPr>
                <w:rFonts w:asciiTheme="minorHAnsi" w:hAnsiTheme="minorHAnsi" w:cs="Arial"/>
                <w:bCs/>
                <w:sz w:val="22"/>
                <w:szCs w:val="22"/>
              </w:rPr>
            </w:pPr>
          </w:p>
          <w:p w14:paraId="6C4775F7" w14:textId="0C856F48" w:rsidR="00B53557" w:rsidRDefault="00B53557" w:rsidP="00B53557">
            <w:pPr>
              <w:widowControl w:val="0"/>
              <w:jc w:val="both"/>
              <w:rPr>
                <w:rFonts w:asciiTheme="minorHAnsi" w:hAnsiTheme="minorHAnsi" w:cs="Arial"/>
                <w:bCs/>
                <w:sz w:val="22"/>
                <w:szCs w:val="22"/>
                <w:lang w:val="en-US"/>
              </w:rPr>
            </w:pPr>
            <w:r>
              <w:rPr>
                <w:rFonts w:asciiTheme="minorHAnsi" w:hAnsiTheme="minorHAnsi" w:cs="Arial"/>
                <w:bCs/>
                <w:sz w:val="22"/>
                <w:szCs w:val="22"/>
              </w:rPr>
              <w:t xml:space="preserve">Throughout the whole project period, DHRP </w:t>
            </w:r>
            <w:r w:rsidRPr="00486FD4">
              <w:rPr>
                <w:rFonts w:asciiTheme="minorHAnsi" w:hAnsiTheme="minorHAnsi" w:cs="Arial"/>
                <w:bCs/>
                <w:sz w:val="22"/>
                <w:szCs w:val="22"/>
              </w:rPr>
              <w:t xml:space="preserve">representatives participated in the Regional Partners’ Forum </w:t>
            </w:r>
            <w:r>
              <w:rPr>
                <w:rFonts w:asciiTheme="minorHAnsi" w:hAnsiTheme="minorHAnsi" w:cs="Arial"/>
                <w:bCs/>
                <w:sz w:val="22"/>
                <w:szCs w:val="22"/>
              </w:rPr>
              <w:t xml:space="preserve">and used it as a platform for discussion of the project </w:t>
            </w:r>
            <w:r w:rsidRPr="00486FD4">
              <w:rPr>
                <w:rFonts w:asciiTheme="minorHAnsi" w:hAnsiTheme="minorHAnsi" w:cs="Arial"/>
                <w:bCs/>
                <w:sz w:val="22"/>
                <w:szCs w:val="22"/>
              </w:rPr>
              <w:t>achievements</w:t>
            </w:r>
            <w:r>
              <w:rPr>
                <w:rFonts w:asciiTheme="minorHAnsi" w:hAnsiTheme="minorHAnsi" w:cs="Arial"/>
                <w:bCs/>
                <w:sz w:val="22"/>
                <w:szCs w:val="22"/>
                <w:lang w:val="uk-UA"/>
              </w:rPr>
              <w:t xml:space="preserve"> </w:t>
            </w:r>
            <w:r>
              <w:rPr>
                <w:rFonts w:asciiTheme="minorHAnsi" w:hAnsiTheme="minorHAnsi" w:cs="Arial"/>
                <w:bCs/>
                <w:sz w:val="22"/>
                <w:szCs w:val="22"/>
                <w:lang w:val="en-US"/>
              </w:rPr>
              <w:t xml:space="preserve">and lessons learned, as well as could benefit from other partners’ experiences. </w:t>
            </w:r>
          </w:p>
          <w:p w14:paraId="753D7D26" w14:textId="77777777" w:rsidR="00B53557" w:rsidRPr="00486FD4" w:rsidRDefault="00B53557" w:rsidP="00B53557">
            <w:pPr>
              <w:widowControl w:val="0"/>
              <w:jc w:val="both"/>
              <w:rPr>
                <w:rFonts w:asciiTheme="minorHAnsi" w:hAnsiTheme="minorHAnsi" w:cs="Arial"/>
                <w:bCs/>
                <w:sz w:val="22"/>
                <w:szCs w:val="22"/>
              </w:rPr>
            </w:pPr>
          </w:p>
          <w:p w14:paraId="52F71AA2" w14:textId="024C6FA0" w:rsidR="00B53557" w:rsidRPr="00486FD4" w:rsidRDefault="00B53557" w:rsidP="00B53557">
            <w:pPr>
              <w:widowControl w:val="0"/>
              <w:jc w:val="both"/>
              <w:rPr>
                <w:rFonts w:asciiTheme="minorHAnsi" w:hAnsiTheme="minorHAnsi" w:cs="Arial"/>
                <w:bCs/>
                <w:sz w:val="22"/>
                <w:szCs w:val="22"/>
              </w:rPr>
            </w:pPr>
            <w:r w:rsidRPr="00486FD4">
              <w:rPr>
                <w:rFonts w:asciiTheme="minorHAnsi" w:hAnsiTheme="minorHAnsi" w:cs="Arial"/>
                <w:bCs/>
                <w:sz w:val="22"/>
                <w:szCs w:val="22"/>
              </w:rPr>
              <w:t>Under the framework of the Regional Component, DHRP also supported a number of capacity development activities for the Implementing Partners and their partner CSOs from</w:t>
            </w:r>
            <w:r>
              <w:rPr>
                <w:rFonts w:asciiTheme="minorHAnsi" w:hAnsiTheme="minorHAnsi" w:cs="Arial"/>
                <w:bCs/>
                <w:sz w:val="22"/>
                <w:szCs w:val="22"/>
              </w:rPr>
              <w:t xml:space="preserve"> Belarus, Moldova, and Ukraine. </w:t>
            </w:r>
          </w:p>
          <w:p w14:paraId="28CF958F" w14:textId="77777777" w:rsidR="00B53557" w:rsidRPr="00486FD4" w:rsidRDefault="00B53557" w:rsidP="00B53557">
            <w:pPr>
              <w:pStyle w:val="ListParagraph"/>
              <w:widowControl w:val="0"/>
              <w:ind w:left="270"/>
              <w:jc w:val="both"/>
              <w:rPr>
                <w:rFonts w:asciiTheme="minorHAnsi" w:hAnsiTheme="minorHAnsi" w:cs="Arial"/>
                <w:bCs/>
                <w:sz w:val="22"/>
                <w:szCs w:val="22"/>
              </w:rPr>
            </w:pPr>
          </w:p>
          <w:p w14:paraId="3EA954B5" w14:textId="3A4FCF81" w:rsidR="00B53557" w:rsidRDefault="00B53557" w:rsidP="00B53557">
            <w:pPr>
              <w:widowControl w:val="0"/>
              <w:jc w:val="both"/>
              <w:rPr>
                <w:rFonts w:asciiTheme="minorHAnsi" w:hAnsiTheme="minorHAnsi" w:cs="Arial"/>
                <w:bCs/>
                <w:sz w:val="22"/>
                <w:szCs w:val="22"/>
              </w:rPr>
            </w:pPr>
            <w:r w:rsidRPr="00486FD4">
              <w:rPr>
                <w:rFonts w:asciiTheme="minorHAnsi" w:hAnsiTheme="minorHAnsi" w:cs="Arial"/>
                <w:bCs/>
                <w:sz w:val="22"/>
                <w:szCs w:val="22"/>
              </w:rPr>
              <w:t>Additionally, in coordination with partners</w:t>
            </w:r>
            <w:r w:rsidR="0084508F">
              <w:rPr>
                <w:rFonts w:asciiTheme="minorHAnsi" w:hAnsiTheme="minorHAnsi" w:cs="Arial"/>
                <w:bCs/>
                <w:sz w:val="22"/>
                <w:szCs w:val="22"/>
              </w:rPr>
              <w:t>,</w:t>
            </w:r>
            <w:r w:rsidRPr="00486FD4">
              <w:rPr>
                <w:rFonts w:asciiTheme="minorHAnsi" w:hAnsiTheme="minorHAnsi" w:cs="Arial"/>
                <w:bCs/>
                <w:sz w:val="22"/>
                <w:szCs w:val="22"/>
              </w:rPr>
              <w:t xml:space="preserve"> the civic literacy test has been conducted in all three countries</w:t>
            </w:r>
            <w:r w:rsidR="0084508F">
              <w:rPr>
                <w:rFonts w:asciiTheme="minorHAnsi" w:hAnsiTheme="minorHAnsi" w:cs="Arial"/>
                <w:bCs/>
                <w:sz w:val="22"/>
                <w:szCs w:val="22"/>
              </w:rPr>
              <w:t>,</w:t>
            </w:r>
            <w:r w:rsidRPr="00486FD4">
              <w:rPr>
                <w:rFonts w:asciiTheme="minorHAnsi" w:hAnsiTheme="minorHAnsi" w:cs="Arial"/>
                <w:bCs/>
                <w:sz w:val="22"/>
                <w:szCs w:val="22"/>
              </w:rPr>
              <w:t xml:space="preserve"> (commissioned by PACT Inc in Belarus and by UNDP in Moldova and Ukraine)</w:t>
            </w:r>
            <w:r w:rsidR="0084508F">
              <w:rPr>
                <w:rFonts w:asciiTheme="minorHAnsi" w:hAnsiTheme="minorHAnsi" w:cs="Arial"/>
                <w:bCs/>
                <w:sz w:val="22"/>
                <w:szCs w:val="22"/>
              </w:rPr>
              <w:t>,</w:t>
            </w:r>
            <w:r w:rsidRPr="00486FD4">
              <w:rPr>
                <w:rFonts w:asciiTheme="minorHAnsi" w:hAnsiTheme="minorHAnsi" w:cs="Arial"/>
                <w:bCs/>
                <w:sz w:val="22"/>
                <w:szCs w:val="22"/>
              </w:rPr>
              <w:t xml:space="preserve"> with a follow up development of the analytical trend-based report, as well as the regional study and practical guidance for the CSOs has been elaborated on application of the human rights based approach in their work (for more details please</w:t>
            </w:r>
            <w:r>
              <w:rPr>
                <w:rFonts w:asciiTheme="minorHAnsi" w:hAnsiTheme="minorHAnsi" w:cs="Arial"/>
                <w:bCs/>
                <w:sz w:val="22"/>
                <w:szCs w:val="22"/>
              </w:rPr>
              <w:t xml:space="preserve"> see the </w:t>
            </w:r>
            <w:r w:rsidRPr="00486FD4">
              <w:rPr>
                <w:rFonts w:asciiTheme="minorHAnsi" w:hAnsiTheme="minorHAnsi" w:cs="Arial"/>
                <w:bCs/>
                <w:sz w:val="22"/>
                <w:szCs w:val="22"/>
              </w:rPr>
              <w:t>report</w:t>
            </w:r>
            <w:r>
              <w:rPr>
                <w:rFonts w:asciiTheme="minorHAnsi" w:hAnsiTheme="minorHAnsi" w:cs="Arial"/>
                <w:bCs/>
                <w:sz w:val="22"/>
                <w:szCs w:val="22"/>
              </w:rPr>
              <w:t xml:space="preserve"> for the Regional Component</w:t>
            </w:r>
            <w:r w:rsidR="0041222F">
              <w:rPr>
                <w:rFonts w:asciiTheme="minorHAnsi" w:hAnsiTheme="minorHAnsi" w:cs="Arial"/>
                <w:bCs/>
                <w:sz w:val="22"/>
                <w:szCs w:val="22"/>
              </w:rPr>
              <w:t xml:space="preserve"> in the Annex </w:t>
            </w:r>
            <w:r w:rsidR="00EC2E96">
              <w:rPr>
                <w:rFonts w:asciiTheme="minorHAnsi" w:hAnsiTheme="minorHAnsi" w:cs="Arial"/>
                <w:bCs/>
                <w:sz w:val="22"/>
                <w:szCs w:val="22"/>
              </w:rPr>
              <w:t>4</w:t>
            </w:r>
            <w:r w:rsidRPr="00486FD4">
              <w:rPr>
                <w:rFonts w:asciiTheme="minorHAnsi" w:hAnsiTheme="minorHAnsi" w:cs="Arial"/>
                <w:bCs/>
                <w:sz w:val="22"/>
                <w:szCs w:val="22"/>
              </w:rPr>
              <w:t>).</w:t>
            </w:r>
          </w:p>
          <w:p w14:paraId="5FAD65B7" w14:textId="1A2413B8" w:rsidR="00484078" w:rsidRDefault="00484078" w:rsidP="00B53557">
            <w:pPr>
              <w:widowControl w:val="0"/>
              <w:jc w:val="both"/>
              <w:rPr>
                <w:rFonts w:asciiTheme="minorHAnsi" w:hAnsiTheme="minorHAnsi" w:cs="Arial"/>
                <w:bCs/>
                <w:sz w:val="22"/>
                <w:szCs w:val="22"/>
              </w:rPr>
            </w:pPr>
          </w:p>
          <w:p w14:paraId="1F106D85" w14:textId="77777777" w:rsidR="008F21C1" w:rsidRPr="00AC3A12" w:rsidRDefault="008F21C1" w:rsidP="008F21C1">
            <w:pPr>
              <w:textAlignment w:val="center"/>
              <w:rPr>
                <w:rFonts w:asciiTheme="minorHAnsi" w:hAnsiTheme="minorHAnsi" w:cstheme="minorHAnsi"/>
                <w:bCs/>
                <w:sz w:val="22"/>
                <w:szCs w:val="22"/>
                <w:lang w:eastAsia="en-US"/>
              </w:rPr>
            </w:pPr>
            <w:r w:rsidRPr="00AC3A12">
              <w:rPr>
                <w:rFonts w:asciiTheme="minorHAnsi" w:hAnsiTheme="minorHAnsi" w:cstheme="minorHAnsi"/>
                <w:bCs/>
                <w:sz w:val="22"/>
                <w:szCs w:val="22"/>
                <w:lang w:eastAsia="en-US"/>
              </w:rPr>
              <w:t xml:space="preserve">Throughout the project period, </w:t>
            </w:r>
            <w:r>
              <w:rPr>
                <w:rFonts w:asciiTheme="minorHAnsi" w:hAnsiTheme="minorHAnsi" w:cstheme="minorHAnsi"/>
                <w:bCs/>
                <w:sz w:val="22"/>
                <w:szCs w:val="22"/>
                <w:lang w:eastAsia="en-US"/>
              </w:rPr>
              <w:t xml:space="preserve">DHRP widely promoted civil society assessment of Ukraine’s commitments under various international treaties and conventions, including </w:t>
            </w:r>
            <w:r w:rsidRPr="00AC3A12">
              <w:rPr>
                <w:rFonts w:asciiTheme="minorHAnsi" w:hAnsiTheme="minorHAnsi" w:cstheme="minorHAnsi"/>
                <w:bCs/>
                <w:sz w:val="22"/>
                <w:szCs w:val="22"/>
                <w:lang w:eastAsia="en-US"/>
              </w:rPr>
              <w:t xml:space="preserve">the Istanbul Anti-Corruption Action plan, the Convention against Torture, the Convention on the Elimination of All Forms of Racial Discrimination, and the Convention on the Elimination of All Forms of Discrimination against Women (CEDAW). </w:t>
            </w:r>
          </w:p>
          <w:p w14:paraId="012381B8" w14:textId="77777777" w:rsidR="00B53557" w:rsidRPr="001A22D3" w:rsidRDefault="00B53557" w:rsidP="00B53557">
            <w:pPr>
              <w:widowControl w:val="0"/>
              <w:jc w:val="both"/>
              <w:rPr>
                <w:rFonts w:asciiTheme="minorHAnsi" w:hAnsiTheme="minorHAnsi" w:cs="Arial"/>
                <w:bCs/>
                <w:sz w:val="22"/>
                <w:szCs w:val="22"/>
              </w:rPr>
            </w:pPr>
          </w:p>
        </w:tc>
      </w:tr>
      <w:tr w:rsidR="00B53557" w:rsidRPr="001A22D3" w14:paraId="6861E37B" w14:textId="77777777" w:rsidTr="001A2049">
        <w:tblPrEx>
          <w:tblBorders>
            <w:insideH w:val="single" w:sz="4" w:space="0" w:color="auto"/>
            <w:insideV w:val="single" w:sz="4" w:space="0" w:color="auto"/>
          </w:tblBorders>
        </w:tblPrEx>
        <w:trPr>
          <w:gridAfter w:val="2"/>
          <w:wAfter w:w="23" w:type="dxa"/>
          <w:trHeight w:val="838"/>
        </w:trPr>
        <w:tc>
          <w:tcPr>
            <w:tcW w:w="10142" w:type="dxa"/>
            <w:gridSpan w:val="4"/>
          </w:tcPr>
          <w:p w14:paraId="4BF42134" w14:textId="77777777" w:rsidR="00B53557" w:rsidRPr="001A22D3" w:rsidRDefault="00B53557" w:rsidP="00B53557">
            <w:pPr>
              <w:widowControl w:val="0"/>
              <w:rPr>
                <w:rFonts w:asciiTheme="minorHAnsi" w:hAnsiTheme="minorHAnsi" w:cs="Arial"/>
                <w:b/>
                <w:bCs/>
                <w:sz w:val="22"/>
                <w:szCs w:val="22"/>
              </w:rPr>
            </w:pPr>
            <w:r w:rsidRPr="001A22D3">
              <w:rPr>
                <w:rFonts w:asciiTheme="minorHAnsi" w:hAnsiTheme="minorHAnsi" w:cs="Arial"/>
                <w:b/>
                <w:bCs/>
                <w:sz w:val="22"/>
                <w:szCs w:val="22"/>
              </w:rPr>
              <w:t>18.  Comments on the financial reporting</w:t>
            </w:r>
          </w:p>
          <w:p w14:paraId="6FAAB62F" w14:textId="77777777" w:rsidR="00B53557" w:rsidRPr="001A22D3" w:rsidRDefault="00B53557" w:rsidP="00B53557">
            <w:pPr>
              <w:widowControl w:val="0"/>
              <w:rPr>
                <w:rFonts w:asciiTheme="minorHAnsi" w:hAnsiTheme="minorHAnsi"/>
                <w:bCs/>
                <w:iCs/>
                <w:sz w:val="22"/>
                <w:szCs w:val="22"/>
              </w:rPr>
            </w:pPr>
          </w:p>
          <w:p w14:paraId="031C114E" w14:textId="0B1C092A" w:rsidR="00B53557" w:rsidRDefault="00B53557" w:rsidP="00B53557">
            <w:pPr>
              <w:widowControl w:val="0"/>
              <w:rPr>
                <w:rFonts w:asciiTheme="minorHAnsi" w:hAnsiTheme="minorHAnsi"/>
                <w:bCs/>
                <w:iCs/>
                <w:sz w:val="22"/>
                <w:szCs w:val="22"/>
              </w:rPr>
            </w:pPr>
            <w:r w:rsidRPr="001A22D3">
              <w:rPr>
                <w:rFonts w:asciiTheme="minorHAnsi" w:hAnsiTheme="minorHAnsi"/>
                <w:bCs/>
                <w:iCs/>
                <w:sz w:val="22"/>
                <w:szCs w:val="22"/>
              </w:rPr>
              <w:t>Refer to ANNEX A</w:t>
            </w:r>
            <w:r w:rsidR="00536F98">
              <w:rPr>
                <w:rFonts w:asciiTheme="minorHAnsi" w:hAnsiTheme="minorHAnsi"/>
                <w:bCs/>
                <w:iCs/>
                <w:sz w:val="22"/>
                <w:szCs w:val="22"/>
              </w:rPr>
              <w:t xml:space="preserve"> 1</w:t>
            </w:r>
            <w:r w:rsidR="00EB1358">
              <w:rPr>
                <w:rFonts w:asciiTheme="minorHAnsi" w:hAnsiTheme="minorHAnsi"/>
                <w:bCs/>
                <w:iCs/>
                <w:sz w:val="22"/>
                <w:szCs w:val="22"/>
              </w:rPr>
              <w:t xml:space="preserve"> for the f</w:t>
            </w:r>
            <w:r w:rsidRPr="001A22D3">
              <w:rPr>
                <w:rFonts w:asciiTheme="minorHAnsi" w:hAnsiTheme="minorHAnsi"/>
                <w:bCs/>
                <w:iCs/>
                <w:sz w:val="22"/>
                <w:szCs w:val="22"/>
              </w:rPr>
              <w:t>inancial status</w:t>
            </w:r>
            <w:r w:rsidR="00EB1358">
              <w:rPr>
                <w:rFonts w:asciiTheme="minorHAnsi" w:hAnsiTheme="minorHAnsi"/>
                <w:bCs/>
                <w:iCs/>
                <w:sz w:val="22"/>
                <w:szCs w:val="22"/>
              </w:rPr>
              <w:t xml:space="preserve"> in context of DHRP Ukraine.</w:t>
            </w:r>
          </w:p>
          <w:p w14:paraId="4D985677" w14:textId="6839F4A3" w:rsidR="00EB1358" w:rsidRDefault="00EB1358" w:rsidP="00B53557">
            <w:pPr>
              <w:widowControl w:val="0"/>
              <w:rPr>
                <w:rFonts w:asciiTheme="minorHAnsi" w:hAnsiTheme="minorHAnsi"/>
                <w:bCs/>
                <w:iCs/>
                <w:sz w:val="22"/>
                <w:szCs w:val="22"/>
              </w:rPr>
            </w:pPr>
          </w:p>
          <w:p w14:paraId="126AF027" w14:textId="6060ED46" w:rsidR="00EB1358" w:rsidRPr="001A22D3" w:rsidRDefault="00EB1358" w:rsidP="00B53557">
            <w:pPr>
              <w:widowControl w:val="0"/>
              <w:rPr>
                <w:rStyle w:val="Style11pt"/>
                <w:rFonts w:asciiTheme="minorHAnsi" w:hAnsiTheme="minorHAnsi"/>
                <w:iCs/>
                <w:sz w:val="22"/>
                <w:szCs w:val="22"/>
              </w:rPr>
            </w:pPr>
            <w:r>
              <w:rPr>
                <w:rFonts w:asciiTheme="minorHAnsi" w:hAnsiTheme="minorHAnsi"/>
                <w:bCs/>
                <w:iCs/>
                <w:sz w:val="22"/>
                <w:szCs w:val="22"/>
              </w:rPr>
              <w:t xml:space="preserve">Refer to </w:t>
            </w:r>
            <w:r w:rsidRPr="001A22D3">
              <w:rPr>
                <w:rFonts w:asciiTheme="minorHAnsi" w:hAnsiTheme="minorHAnsi"/>
                <w:bCs/>
                <w:iCs/>
                <w:sz w:val="22"/>
                <w:szCs w:val="22"/>
              </w:rPr>
              <w:t>ANNEX A</w:t>
            </w:r>
            <w:r>
              <w:rPr>
                <w:rFonts w:asciiTheme="minorHAnsi" w:hAnsiTheme="minorHAnsi"/>
                <w:bCs/>
                <w:iCs/>
                <w:sz w:val="22"/>
                <w:szCs w:val="22"/>
              </w:rPr>
              <w:t xml:space="preserve"> </w:t>
            </w:r>
            <w:r w:rsidR="00FF4E11">
              <w:rPr>
                <w:rFonts w:asciiTheme="minorHAnsi" w:hAnsiTheme="minorHAnsi"/>
                <w:bCs/>
                <w:iCs/>
                <w:sz w:val="22"/>
                <w:szCs w:val="22"/>
              </w:rPr>
              <w:t>2</w:t>
            </w:r>
            <w:r>
              <w:rPr>
                <w:rFonts w:asciiTheme="minorHAnsi" w:hAnsiTheme="minorHAnsi"/>
                <w:bCs/>
                <w:iCs/>
                <w:sz w:val="22"/>
                <w:szCs w:val="22"/>
              </w:rPr>
              <w:t xml:space="preserve"> for the f</w:t>
            </w:r>
            <w:r w:rsidRPr="001A22D3">
              <w:rPr>
                <w:rFonts w:asciiTheme="minorHAnsi" w:hAnsiTheme="minorHAnsi"/>
                <w:bCs/>
                <w:iCs/>
                <w:sz w:val="22"/>
                <w:szCs w:val="22"/>
              </w:rPr>
              <w:t>inancial status</w:t>
            </w:r>
            <w:r>
              <w:rPr>
                <w:rFonts w:asciiTheme="minorHAnsi" w:hAnsiTheme="minorHAnsi"/>
                <w:bCs/>
                <w:iCs/>
                <w:sz w:val="22"/>
                <w:szCs w:val="22"/>
              </w:rPr>
              <w:t xml:space="preserve"> in context of the </w:t>
            </w:r>
            <w:r>
              <w:rPr>
                <w:rFonts w:asciiTheme="minorHAnsi" w:hAnsiTheme="minorHAnsi"/>
                <w:sz w:val="22"/>
                <w:szCs w:val="22"/>
                <w:lang w:eastAsia="ru-RU"/>
              </w:rPr>
              <w:t xml:space="preserve">Regional Component. </w:t>
            </w:r>
          </w:p>
          <w:p w14:paraId="66D083EC" w14:textId="77777777" w:rsidR="00B53557" w:rsidRPr="001A22D3" w:rsidRDefault="00B53557" w:rsidP="00B53557">
            <w:pPr>
              <w:widowControl w:val="0"/>
              <w:rPr>
                <w:rStyle w:val="Style11pt"/>
                <w:rFonts w:asciiTheme="minorHAnsi" w:hAnsiTheme="minorHAnsi"/>
                <w:iCs/>
                <w:sz w:val="22"/>
                <w:szCs w:val="22"/>
              </w:rPr>
            </w:pPr>
          </w:p>
        </w:tc>
      </w:tr>
      <w:tr w:rsidR="00B53557" w:rsidRPr="001A22D3" w14:paraId="30FF2516" w14:textId="77777777" w:rsidTr="001A2049">
        <w:tblPrEx>
          <w:tblBorders>
            <w:insideH w:val="single" w:sz="4" w:space="0" w:color="auto"/>
            <w:insideV w:val="single" w:sz="4" w:space="0" w:color="auto"/>
          </w:tblBorders>
        </w:tblPrEx>
        <w:trPr>
          <w:gridAfter w:val="2"/>
          <w:wAfter w:w="23" w:type="dxa"/>
        </w:trPr>
        <w:tc>
          <w:tcPr>
            <w:tcW w:w="10142" w:type="dxa"/>
            <w:gridSpan w:val="4"/>
            <w:shd w:val="clear" w:color="auto" w:fill="E6E6E6"/>
          </w:tcPr>
          <w:p w14:paraId="0E60C200" w14:textId="77777777" w:rsidR="00B53557" w:rsidRPr="001A22D3" w:rsidRDefault="00B53557" w:rsidP="00B53557">
            <w:pPr>
              <w:pStyle w:val="FootnoteText"/>
              <w:widowControl w:val="0"/>
              <w:rPr>
                <w:rFonts w:asciiTheme="minorHAnsi" w:hAnsiTheme="minorHAnsi" w:cs="Arial"/>
                <w:b/>
                <w:bCs/>
                <w:sz w:val="22"/>
                <w:szCs w:val="22"/>
                <w:lang w:val="en-GB"/>
              </w:rPr>
            </w:pPr>
            <w:r w:rsidRPr="001A22D3">
              <w:rPr>
                <w:rFonts w:asciiTheme="minorHAnsi" w:hAnsiTheme="minorHAnsi" w:cs="Arial"/>
                <w:b/>
                <w:bCs/>
                <w:sz w:val="22"/>
                <w:szCs w:val="22"/>
                <w:lang w:val="en-GB"/>
              </w:rPr>
              <w:t>Annexes</w:t>
            </w:r>
          </w:p>
        </w:tc>
      </w:tr>
      <w:tr w:rsidR="00B53557" w:rsidRPr="001A22D3" w14:paraId="2BCF0031" w14:textId="77777777" w:rsidTr="00354A9F">
        <w:tblPrEx>
          <w:tblBorders>
            <w:insideH w:val="single" w:sz="4" w:space="0" w:color="auto"/>
            <w:insideV w:val="single" w:sz="4" w:space="0" w:color="auto"/>
          </w:tblBorders>
        </w:tblPrEx>
        <w:trPr>
          <w:gridAfter w:val="2"/>
          <w:wAfter w:w="23" w:type="dxa"/>
          <w:trHeight w:val="58"/>
        </w:trPr>
        <w:tc>
          <w:tcPr>
            <w:tcW w:w="10142" w:type="dxa"/>
            <w:gridSpan w:val="4"/>
          </w:tcPr>
          <w:p w14:paraId="473E817A" w14:textId="77777777" w:rsidR="00B53557" w:rsidRPr="001A22D3" w:rsidRDefault="00B53557" w:rsidP="00B53557">
            <w:pPr>
              <w:pStyle w:val="FootnoteText"/>
              <w:widowControl w:val="0"/>
              <w:rPr>
                <w:rFonts w:asciiTheme="minorHAnsi" w:hAnsiTheme="minorHAnsi"/>
                <w:sz w:val="22"/>
                <w:szCs w:val="22"/>
                <w:lang w:val="en-GB" w:eastAsia="ru-RU"/>
              </w:rPr>
            </w:pPr>
          </w:p>
          <w:p w14:paraId="43F9FFE9" w14:textId="5743E1B9" w:rsidR="00B53557" w:rsidRDefault="00B53557" w:rsidP="00B53557">
            <w:pPr>
              <w:pStyle w:val="FootnoteText"/>
              <w:widowControl w:val="0"/>
              <w:rPr>
                <w:rFonts w:asciiTheme="minorHAnsi" w:hAnsiTheme="minorHAnsi"/>
                <w:sz w:val="22"/>
                <w:szCs w:val="22"/>
                <w:lang w:val="en-GB" w:eastAsia="ru-RU"/>
              </w:rPr>
            </w:pPr>
            <w:r>
              <w:rPr>
                <w:rFonts w:asciiTheme="minorHAnsi" w:hAnsiTheme="minorHAnsi"/>
                <w:sz w:val="22"/>
                <w:szCs w:val="22"/>
                <w:lang w:val="en-GB" w:eastAsia="ru-RU"/>
              </w:rPr>
              <w:t>Annex A</w:t>
            </w:r>
            <w:r w:rsidR="00536F98">
              <w:rPr>
                <w:rFonts w:asciiTheme="minorHAnsi" w:hAnsiTheme="minorHAnsi"/>
                <w:sz w:val="22"/>
                <w:szCs w:val="22"/>
                <w:lang w:val="en-GB" w:eastAsia="ru-RU"/>
              </w:rPr>
              <w:t xml:space="preserve"> 1</w:t>
            </w:r>
            <w:r w:rsidRPr="001A22D3">
              <w:rPr>
                <w:rFonts w:asciiTheme="minorHAnsi" w:hAnsiTheme="minorHAnsi"/>
                <w:sz w:val="22"/>
                <w:szCs w:val="22"/>
                <w:lang w:val="en-GB" w:eastAsia="ru-RU"/>
              </w:rPr>
              <w:t xml:space="preserve">. </w:t>
            </w:r>
            <w:r w:rsidR="00EB1358">
              <w:rPr>
                <w:rFonts w:asciiTheme="minorHAnsi" w:hAnsiTheme="minorHAnsi"/>
                <w:sz w:val="22"/>
                <w:szCs w:val="22"/>
                <w:lang w:val="en-GB" w:eastAsia="ru-RU"/>
              </w:rPr>
              <w:t xml:space="preserve">DHRP Ukraine: </w:t>
            </w:r>
            <w:r w:rsidRPr="001A22D3">
              <w:rPr>
                <w:rFonts w:asciiTheme="minorHAnsi" w:hAnsiTheme="minorHAnsi"/>
                <w:sz w:val="22"/>
                <w:szCs w:val="22"/>
                <w:lang w:val="en-GB" w:eastAsia="ru-RU"/>
              </w:rPr>
              <w:t>Financial status – yearly budget plus expenditures</w:t>
            </w:r>
          </w:p>
          <w:p w14:paraId="0A960A72" w14:textId="541D8DA3" w:rsidR="00536F98" w:rsidRPr="001A22D3" w:rsidRDefault="00536F98" w:rsidP="00B53557">
            <w:pPr>
              <w:pStyle w:val="FootnoteText"/>
              <w:widowControl w:val="0"/>
              <w:rPr>
                <w:rFonts w:asciiTheme="minorHAnsi" w:hAnsiTheme="minorHAnsi"/>
                <w:sz w:val="22"/>
                <w:szCs w:val="22"/>
                <w:lang w:val="en-GB" w:eastAsia="ru-RU"/>
              </w:rPr>
            </w:pPr>
            <w:r>
              <w:rPr>
                <w:rFonts w:asciiTheme="minorHAnsi" w:hAnsiTheme="minorHAnsi"/>
                <w:sz w:val="22"/>
                <w:szCs w:val="22"/>
                <w:lang w:val="en-GB" w:eastAsia="ru-RU"/>
              </w:rPr>
              <w:t xml:space="preserve">Annex A 2. Regional </w:t>
            </w:r>
            <w:r w:rsidR="00E57101">
              <w:rPr>
                <w:rFonts w:asciiTheme="minorHAnsi" w:hAnsiTheme="minorHAnsi"/>
                <w:sz w:val="22"/>
                <w:szCs w:val="22"/>
                <w:lang w:val="en-GB" w:eastAsia="ru-RU"/>
              </w:rPr>
              <w:t>C</w:t>
            </w:r>
            <w:r>
              <w:rPr>
                <w:rFonts w:asciiTheme="minorHAnsi" w:hAnsiTheme="minorHAnsi"/>
                <w:sz w:val="22"/>
                <w:szCs w:val="22"/>
                <w:lang w:val="en-GB" w:eastAsia="ru-RU"/>
              </w:rPr>
              <w:t xml:space="preserve">omponent: </w:t>
            </w:r>
            <w:r w:rsidRPr="001A22D3">
              <w:rPr>
                <w:rFonts w:asciiTheme="minorHAnsi" w:hAnsiTheme="minorHAnsi"/>
                <w:sz w:val="22"/>
                <w:szCs w:val="22"/>
                <w:lang w:val="en-GB" w:eastAsia="ru-RU"/>
              </w:rPr>
              <w:t>Financial status – yearly budget plus expenditures</w:t>
            </w:r>
          </w:p>
          <w:p w14:paraId="68DB5845" w14:textId="7F960E11" w:rsidR="00B53557" w:rsidRDefault="00B53557" w:rsidP="00B53557">
            <w:pPr>
              <w:pStyle w:val="FootnoteText"/>
              <w:widowControl w:val="0"/>
              <w:rPr>
                <w:rFonts w:asciiTheme="minorHAnsi" w:hAnsiTheme="minorHAnsi" w:cs="Arial"/>
                <w:sz w:val="22"/>
                <w:szCs w:val="22"/>
                <w:lang w:val="en-GB"/>
              </w:rPr>
            </w:pPr>
            <w:r>
              <w:rPr>
                <w:rFonts w:asciiTheme="minorHAnsi" w:hAnsiTheme="minorHAnsi"/>
                <w:sz w:val="22"/>
                <w:szCs w:val="22"/>
                <w:lang w:val="en-GB" w:eastAsia="ru-RU"/>
              </w:rPr>
              <w:t>Annex B</w:t>
            </w:r>
            <w:r w:rsidRPr="001A22D3">
              <w:rPr>
                <w:rFonts w:asciiTheme="minorHAnsi" w:hAnsiTheme="minorHAnsi"/>
                <w:sz w:val="22"/>
                <w:szCs w:val="22"/>
                <w:lang w:val="en-GB" w:eastAsia="ru-RU"/>
              </w:rPr>
              <w:t xml:space="preserve">. </w:t>
            </w:r>
            <w:r w:rsidRPr="00E31D17">
              <w:rPr>
                <w:rFonts w:asciiTheme="minorHAnsi" w:hAnsiTheme="minorHAnsi" w:cs="Arial"/>
                <w:sz w:val="22"/>
                <w:szCs w:val="22"/>
                <w:lang w:val="en-GB"/>
              </w:rPr>
              <w:t>Status in logical framework</w:t>
            </w:r>
          </w:p>
          <w:p w14:paraId="036BAC9D" w14:textId="68514ACF" w:rsidR="00B53557" w:rsidRDefault="00B53557" w:rsidP="00B53557">
            <w:pPr>
              <w:pStyle w:val="FootnoteText"/>
              <w:widowControl w:val="0"/>
              <w:rPr>
                <w:rFonts w:asciiTheme="minorHAnsi" w:hAnsiTheme="minorHAnsi" w:cs="Arial"/>
                <w:sz w:val="22"/>
                <w:szCs w:val="22"/>
                <w:lang w:val="en-GB"/>
              </w:rPr>
            </w:pPr>
            <w:r>
              <w:rPr>
                <w:rFonts w:asciiTheme="minorHAnsi" w:hAnsiTheme="minorHAnsi" w:cs="Arial"/>
                <w:sz w:val="22"/>
                <w:szCs w:val="22"/>
                <w:lang w:val="en-GB"/>
              </w:rPr>
              <w:t xml:space="preserve">Annex </w:t>
            </w:r>
            <w:r w:rsidR="006E654E">
              <w:rPr>
                <w:rFonts w:asciiTheme="minorHAnsi" w:hAnsiTheme="minorHAnsi" w:cs="Arial"/>
                <w:sz w:val="22"/>
                <w:szCs w:val="22"/>
                <w:lang w:val="en-GB"/>
              </w:rPr>
              <w:t xml:space="preserve">1a </w:t>
            </w:r>
            <w:r>
              <w:rPr>
                <w:rFonts w:asciiTheme="minorHAnsi" w:hAnsiTheme="minorHAnsi" w:cs="Arial"/>
                <w:sz w:val="22"/>
                <w:szCs w:val="22"/>
                <w:lang w:val="en-GB"/>
              </w:rPr>
              <w:t xml:space="preserve">– </w:t>
            </w:r>
            <w:hyperlink r:id="rId43" w:history="1">
              <w:r w:rsidRPr="00D5527A">
                <w:rPr>
                  <w:rStyle w:val="Hyperlink"/>
                  <w:rFonts w:asciiTheme="minorHAnsi" w:hAnsiTheme="minorHAnsi" w:cs="Arial"/>
                  <w:sz w:val="22"/>
                  <w:szCs w:val="22"/>
                  <w:lang w:val="en-GB"/>
                </w:rPr>
                <w:t>Fostering Democratization (UNDP/DHRP 2013-2017)</w:t>
              </w:r>
            </w:hyperlink>
          </w:p>
          <w:p w14:paraId="40F5C353" w14:textId="75AEA9A2" w:rsidR="00B53557" w:rsidRDefault="00B53557" w:rsidP="00B53557">
            <w:pPr>
              <w:pStyle w:val="FootnoteText"/>
              <w:widowControl w:val="0"/>
              <w:rPr>
                <w:rFonts w:asciiTheme="minorHAnsi" w:hAnsiTheme="minorHAnsi" w:cs="Arial"/>
                <w:sz w:val="22"/>
                <w:szCs w:val="22"/>
                <w:lang w:val="en-GB"/>
              </w:rPr>
            </w:pPr>
            <w:r>
              <w:rPr>
                <w:rFonts w:asciiTheme="minorHAnsi" w:hAnsiTheme="minorHAnsi" w:cs="Arial"/>
                <w:sz w:val="22"/>
                <w:szCs w:val="22"/>
                <w:lang w:val="en-GB"/>
              </w:rPr>
              <w:t xml:space="preserve">Annex </w:t>
            </w:r>
            <w:r w:rsidR="006E654E">
              <w:rPr>
                <w:rFonts w:asciiTheme="minorHAnsi" w:hAnsiTheme="minorHAnsi" w:cs="Arial"/>
                <w:sz w:val="22"/>
                <w:szCs w:val="22"/>
                <w:lang w:val="en-GB"/>
              </w:rPr>
              <w:t xml:space="preserve">1b </w:t>
            </w:r>
            <w:r>
              <w:rPr>
                <w:rFonts w:asciiTheme="minorHAnsi" w:hAnsiTheme="minorHAnsi" w:cs="Arial"/>
                <w:sz w:val="22"/>
                <w:szCs w:val="22"/>
                <w:lang w:val="en-GB"/>
              </w:rPr>
              <w:t xml:space="preserve">– </w:t>
            </w:r>
            <w:hyperlink r:id="rId44" w:history="1">
              <w:r w:rsidRPr="00D5527A">
                <w:rPr>
                  <w:rStyle w:val="Hyperlink"/>
                  <w:rFonts w:asciiTheme="minorHAnsi" w:hAnsiTheme="minorHAnsi" w:cs="Arial"/>
                  <w:sz w:val="22"/>
                  <w:szCs w:val="22"/>
                  <w:lang w:val="en-GB"/>
                </w:rPr>
                <w:t>Promoting Human Rights (UNDP/DHRP 2013-2017)</w:t>
              </w:r>
            </w:hyperlink>
          </w:p>
          <w:p w14:paraId="6D9E567B" w14:textId="1931FD71" w:rsidR="00B53557" w:rsidRDefault="00B53557" w:rsidP="00B53557">
            <w:pPr>
              <w:pStyle w:val="FootnoteText"/>
              <w:widowControl w:val="0"/>
              <w:rPr>
                <w:rFonts w:asciiTheme="minorHAnsi" w:hAnsiTheme="minorHAnsi" w:cs="Arial"/>
                <w:sz w:val="22"/>
                <w:szCs w:val="22"/>
                <w:lang w:val="en-GB"/>
              </w:rPr>
            </w:pPr>
            <w:r>
              <w:rPr>
                <w:rFonts w:asciiTheme="minorHAnsi" w:hAnsiTheme="minorHAnsi" w:cs="Arial"/>
                <w:sz w:val="22"/>
                <w:szCs w:val="22"/>
                <w:lang w:val="en-GB"/>
              </w:rPr>
              <w:t xml:space="preserve">Annex </w:t>
            </w:r>
            <w:r w:rsidR="006E654E">
              <w:rPr>
                <w:rFonts w:asciiTheme="minorHAnsi" w:hAnsiTheme="minorHAnsi" w:cs="Arial"/>
                <w:sz w:val="22"/>
                <w:szCs w:val="22"/>
                <w:lang w:val="en-GB"/>
              </w:rPr>
              <w:t xml:space="preserve">1c </w:t>
            </w:r>
            <w:r>
              <w:rPr>
                <w:rFonts w:asciiTheme="minorHAnsi" w:hAnsiTheme="minorHAnsi" w:cs="Arial"/>
                <w:sz w:val="22"/>
                <w:szCs w:val="22"/>
                <w:lang w:val="en-GB"/>
              </w:rPr>
              <w:t xml:space="preserve">– </w:t>
            </w:r>
            <w:hyperlink r:id="rId45" w:history="1">
              <w:r w:rsidRPr="00D5527A">
                <w:rPr>
                  <w:rStyle w:val="Hyperlink"/>
                  <w:rFonts w:asciiTheme="minorHAnsi" w:hAnsiTheme="minorHAnsi" w:cs="Arial"/>
                  <w:sz w:val="22"/>
                  <w:szCs w:val="22"/>
                  <w:lang w:val="en-GB"/>
                </w:rPr>
                <w:t>Developing Civil Society (UNDP/DHRP 2013-2017)</w:t>
              </w:r>
            </w:hyperlink>
          </w:p>
          <w:p w14:paraId="48FF87DC" w14:textId="5F57E078" w:rsidR="00B53557" w:rsidRDefault="00B53557" w:rsidP="00B53557">
            <w:pPr>
              <w:pStyle w:val="FootnoteText"/>
              <w:widowControl w:val="0"/>
              <w:rPr>
                <w:rFonts w:asciiTheme="minorHAnsi" w:hAnsiTheme="minorHAnsi" w:cs="Arial"/>
                <w:sz w:val="22"/>
                <w:szCs w:val="22"/>
                <w:lang w:val="en-GB"/>
              </w:rPr>
            </w:pPr>
            <w:r>
              <w:rPr>
                <w:rFonts w:asciiTheme="minorHAnsi" w:hAnsiTheme="minorHAnsi" w:cs="Arial"/>
                <w:sz w:val="22"/>
                <w:szCs w:val="22"/>
                <w:lang w:val="en-GB"/>
              </w:rPr>
              <w:t>Annex</w:t>
            </w:r>
            <w:r w:rsidR="00BA3940">
              <w:rPr>
                <w:rFonts w:asciiTheme="minorHAnsi" w:hAnsiTheme="minorHAnsi" w:cs="Arial"/>
                <w:sz w:val="22"/>
                <w:szCs w:val="22"/>
                <w:lang w:val="en-GB"/>
              </w:rPr>
              <w:t xml:space="preserve"> 2 </w:t>
            </w:r>
            <w:r>
              <w:rPr>
                <w:rFonts w:asciiTheme="minorHAnsi" w:hAnsiTheme="minorHAnsi" w:cs="Arial"/>
                <w:sz w:val="22"/>
                <w:szCs w:val="22"/>
                <w:lang w:val="en-GB"/>
              </w:rPr>
              <w:t xml:space="preserve">– </w:t>
            </w:r>
            <w:hyperlink r:id="rId46" w:history="1">
              <w:r w:rsidRPr="00D5527A">
                <w:rPr>
                  <w:rStyle w:val="Hyperlink"/>
                  <w:rFonts w:asciiTheme="minorHAnsi" w:hAnsiTheme="minorHAnsi" w:cs="Arial"/>
                  <w:sz w:val="22"/>
                  <w:szCs w:val="22"/>
                  <w:lang w:val="en-GB"/>
                </w:rPr>
                <w:t>Hubs’ final organisational assessment results</w:t>
              </w:r>
            </w:hyperlink>
          </w:p>
          <w:p w14:paraId="79AAC4CA" w14:textId="02E18B74" w:rsidR="00B53557" w:rsidRDefault="00B53557" w:rsidP="00B53557">
            <w:pPr>
              <w:pStyle w:val="FootnoteText"/>
              <w:widowControl w:val="0"/>
              <w:rPr>
                <w:rStyle w:val="Hyperlink"/>
                <w:rFonts w:asciiTheme="minorHAnsi" w:hAnsiTheme="minorHAnsi" w:cs="Arial"/>
                <w:sz w:val="22"/>
                <w:szCs w:val="22"/>
                <w:lang w:val="en-GB"/>
              </w:rPr>
            </w:pPr>
            <w:r>
              <w:rPr>
                <w:rFonts w:asciiTheme="minorHAnsi" w:hAnsiTheme="minorHAnsi" w:cs="Arial"/>
                <w:sz w:val="22"/>
                <w:szCs w:val="22"/>
                <w:lang w:val="en-GB"/>
              </w:rPr>
              <w:t xml:space="preserve">Annex </w:t>
            </w:r>
            <w:r w:rsidR="00BA3940">
              <w:rPr>
                <w:rFonts w:asciiTheme="minorHAnsi" w:hAnsiTheme="minorHAnsi" w:cs="Arial"/>
                <w:sz w:val="22"/>
                <w:szCs w:val="22"/>
                <w:lang w:val="en-GB"/>
              </w:rPr>
              <w:t>3</w:t>
            </w:r>
            <w:r w:rsidR="006E654E">
              <w:rPr>
                <w:rFonts w:asciiTheme="minorHAnsi" w:hAnsiTheme="minorHAnsi" w:cs="Arial"/>
                <w:sz w:val="22"/>
                <w:szCs w:val="22"/>
                <w:lang w:val="en-GB"/>
              </w:rPr>
              <w:t xml:space="preserve"> </w:t>
            </w:r>
            <w:r>
              <w:rPr>
                <w:rFonts w:asciiTheme="minorHAnsi" w:hAnsiTheme="minorHAnsi" w:cs="Arial"/>
                <w:sz w:val="22"/>
                <w:szCs w:val="22"/>
                <w:lang w:val="en-GB"/>
              </w:rPr>
              <w:t xml:space="preserve">– </w:t>
            </w:r>
            <w:hyperlink r:id="rId47" w:history="1">
              <w:r w:rsidRPr="00D5527A">
                <w:rPr>
                  <w:rStyle w:val="Hyperlink"/>
                  <w:rFonts w:asciiTheme="minorHAnsi" w:hAnsiTheme="minorHAnsi" w:cs="Arial"/>
                  <w:sz w:val="22"/>
                  <w:szCs w:val="22"/>
                  <w:lang w:val="en-GB"/>
                </w:rPr>
                <w:t>Defining civil society in Ukraine (summary</w:t>
              </w:r>
              <w:r w:rsidR="000F1AEC" w:rsidRPr="00D5527A">
                <w:rPr>
                  <w:rStyle w:val="Hyperlink"/>
                  <w:rFonts w:asciiTheme="minorHAnsi" w:hAnsiTheme="minorHAnsi" w:cs="Arial"/>
                  <w:sz w:val="22"/>
                  <w:szCs w:val="22"/>
                  <w:lang w:val="en-GB"/>
                </w:rPr>
                <w:t xml:space="preserve"> of main findings</w:t>
              </w:r>
              <w:r w:rsidRPr="00D5527A">
                <w:rPr>
                  <w:rStyle w:val="Hyperlink"/>
                  <w:rFonts w:asciiTheme="minorHAnsi" w:hAnsiTheme="minorHAnsi" w:cs="Arial"/>
                  <w:sz w:val="22"/>
                  <w:szCs w:val="22"/>
                  <w:lang w:val="en-GB"/>
                </w:rPr>
                <w:t>)</w:t>
              </w:r>
            </w:hyperlink>
          </w:p>
          <w:p w14:paraId="2C3CFA01" w14:textId="2CC2E889" w:rsidR="00EC2E96" w:rsidRDefault="00B53557" w:rsidP="00B53557">
            <w:pPr>
              <w:pStyle w:val="FootnoteText"/>
              <w:widowControl w:val="0"/>
              <w:rPr>
                <w:rFonts w:asciiTheme="minorHAnsi" w:hAnsiTheme="minorHAnsi"/>
                <w:sz w:val="22"/>
                <w:szCs w:val="22"/>
                <w:lang w:val="en-GB" w:eastAsia="ru-RU"/>
              </w:rPr>
            </w:pPr>
            <w:r w:rsidRPr="007D15DC">
              <w:rPr>
                <w:rFonts w:asciiTheme="minorHAnsi" w:hAnsiTheme="minorHAnsi"/>
                <w:sz w:val="22"/>
                <w:szCs w:val="22"/>
                <w:lang w:val="en-GB" w:eastAsia="ru-RU"/>
              </w:rPr>
              <w:t xml:space="preserve">Annex </w:t>
            </w:r>
            <w:r w:rsidR="00BA3940">
              <w:rPr>
                <w:rFonts w:asciiTheme="minorHAnsi" w:hAnsiTheme="minorHAnsi"/>
                <w:sz w:val="22"/>
                <w:szCs w:val="22"/>
                <w:lang w:val="en-GB" w:eastAsia="ru-RU"/>
              </w:rPr>
              <w:t>4</w:t>
            </w:r>
            <w:r w:rsidR="006E654E" w:rsidRPr="007D15DC">
              <w:rPr>
                <w:rFonts w:asciiTheme="minorHAnsi" w:hAnsiTheme="minorHAnsi"/>
                <w:sz w:val="22"/>
                <w:szCs w:val="22"/>
                <w:lang w:val="en-GB" w:eastAsia="ru-RU"/>
              </w:rPr>
              <w:t xml:space="preserve"> </w:t>
            </w:r>
            <w:r w:rsidRPr="007D15DC">
              <w:rPr>
                <w:rFonts w:asciiTheme="minorHAnsi" w:hAnsiTheme="minorHAnsi"/>
                <w:sz w:val="22"/>
                <w:szCs w:val="22"/>
                <w:lang w:val="en-GB" w:eastAsia="ru-RU"/>
              </w:rPr>
              <w:t>–</w:t>
            </w:r>
            <w:r w:rsidR="000F1AEC">
              <w:rPr>
                <w:rFonts w:asciiTheme="minorHAnsi" w:hAnsiTheme="minorHAnsi"/>
                <w:sz w:val="22"/>
                <w:szCs w:val="22"/>
                <w:lang w:val="en-GB" w:eastAsia="ru-RU"/>
              </w:rPr>
              <w:t xml:space="preserve"> </w:t>
            </w:r>
            <w:hyperlink r:id="rId48" w:history="1">
              <w:r w:rsidR="000F1AEC" w:rsidRPr="005552B6">
                <w:rPr>
                  <w:rStyle w:val="Hyperlink"/>
                  <w:rFonts w:asciiTheme="minorHAnsi" w:hAnsiTheme="minorHAnsi"/>
                  <w:sz w:val="22"/>
                  <w:szCs w:val="22"/>
                  <w:lang w:val="en-GB" w:eastAsia="ru-RU"/>
                </w:rPr>
                <w:t xml:space="preserve">Project </w:t>
              </w:r>
              <w:r w:rsidR="000F1AEC" w:rsidRPr="005552B6">
                <w:rPr>
                  <w:rStyle w:val="Hyperlink"/>
                  <w:rFonts w:asciiTheme="minorHAnsi" w:hAnsiTheme="minorHAnsi"/>
                  <w:sz w:val="22"/>
                  <w:szCs w:val="22"/>
                  <w:lang w:val="en-US" w:eastAsia="ru-RU"/>
                </w:rPr>
                <w:t xml:space="preserve">completion report </w:t>
              </w:r>
              <w:r w:rsidR="001F1242" w:rsidRPr="005552B6">
                <w:rPr>
                  <w:rStyle w:val="Hyperlink"/>
                  <w:rFonts w:asciiTheme="minorHAnsi" w:hAnsiTheme="minorHAnsi"/>
                  <w:sz w:val="22"/>
                  <w:szCs w:val="22"/>
                  <w:lang w:val="en-US" w:eastAsia="ru-RU"/>
                </w:rPr>
                <w:t xml:space="preserve">for DHRP </w:t>
              </w:r>
              <w:r w:rsidR="00EC2E96" w:rsidRPr="005552B6">
                <w:rPr>
                  <w:rStyle w:val="Hyperlink"/>
                  <w:rFonts w:asciiTheme="minorHAnsi" w:hAnsiTheme="minorHAnsi"/>
                  <w:sz w:val="22"/>
                  <w:szCs w:val="22"/>
                  <w:lang w:val="en-GB" w:eastAsia="ru-RU"/>
                </w:rPr>
                <w:t>regional component.</w:t>
              </w:r>
            </w:hyperlink>
            <w:r w:rsidR="00EC2E96">
              <w:rPr>
                <w:rFonts w:asciiTheme="minorHAnsi" w:hAnsiTheme="minorHAnsi"/>
                <w:sz w:val="22"/>
                <w:szCs w:val="22"/>
                <w:lang w:val="en-GB" w:eastAsia="ru-RU"/>
              </w:rPr>
              <w:t xml:space="preserve"> </w:t>
            </w:r>
          </w:p>
          <w:p w14:paraId="3D70CF57" w14:textId="70B48600" w:rsidR="00B53557" w:rsidRPr="001A22D3" w:rsidRDefault="00EC2E96" w:rsidP="00B53557">
            <w:pPr>
              <w:pStyle w:val="FootnoteText"/>
              <w:widowControl w:val="0"/>
              <w:rPr>
                <w:rFonts w:asciiTheme="minorHAnsi" w:hAnsiTheme="minorHAnsi" w:cs="Arial"/>
                <w:sz w:val="22"/>
                <w:szCs w:val="22"/>
                <w:lang w:val="en-GB"/>
              </w:rPr>
            </w:pPr>
            <w:r>
              <w:rPr>
                <w:rFonts w:asciiTheme="minorHAnsi" w:hAnsiTheme="minorHAnsi"/>
                <w:sz w:val="22"/>
                <w:szCs w:val="22"/>
                <w:lang w:val="en-GB" w:eastAsia="ru-RU"/>
              </w:rPr>
              <w:t xml:space="preserve">Annex 5 – </w:t>
            </w:r>
            <w:hyperlink r:id="rId49" w:history="1">
              <w:r w:rsidR="003D526A" w:rsidRPr="00D5527A">
                <w:rPr>
                  <w:rStyle w:val="Hyperlink"/>
                  <w:rFonts w:asciiTheme="minorHAnsi" w:hAnsiTheme="minorHAnsi"/>
                  <w:sz w:val="22"/>
                  <w:szCs w:val="22"/>
                  <w:lang w:val="en-GB" w:eastAsia="ru-RU"/>
                </w:rPr>
                <w:t>DHRP f</w:t>
              </w:r>
              <w:r w:rsidR="00B53557" w:rsidRPr="00D5527A">
                <w:rPr>
                  <w:rStyle w:val="Hyperlink"/>
                  <w:rFonts w:asciiTheme="minorHAnsi" w:hAnsiTheme="minorHAnsi"/>
                  <w:sz w:val="22"/>
                  <w:szCs w:val="22"/>
                  <w:lang w:val="en-GB" w:eastAsia="ru-RU"/>
                </w:rPr>
                <w:t xml:space="preserve">inal project evaluation </w:t>
              </w:r>
              <w:r w:rsidR="009A73AC" w:rsidRPr="00D5527A">
                <w:rPr>
                  <w:rStyle w:val="Hyperlink"/>
                  <w:rFonts w:asciiTheme="minorHAnsi" w:hAnsiTheme="minorHAnsi"/>
                  <w:sz w:val="22"/>
                  <w:szCs w:val="22"/>
                  <w:lang w:val="en-GB" w:eastAsia="ru-RU"/>
                </w:rPr>
                <w:t>report</w:t>
              </w:r>
            </w:hyperlink>
            <w:r w:rsidR="009A73AC">
              <w:rPr>
                <w:rFonts w:asciiTheme="minorHAnsi" w:hAnsiTheme="minorHAnsi"/>
                <w:sz w:val="22"/>
                <w:szCs w:val="22"/>
                <w:lang w:val="en-GB" w:eastAsia="ru-RU"/>
              </w:rPr>
              <w:t xml:space="preserve"> </w:t>
            </w:r>
          </w:p>
        </w:tc>
      </w:tr>
    </w:tbl>
    <w:p w14:paraId="3F472B7F" w14:textId="77777777" w:rsidR="004F644E" w:rsidRPr="001A22D3" w:rsidRDefault="004F644E" w:rsidP="00CB3056">
      <w:pPr>
        <w:pStyle w:val="Heading1"/>
        <w:numPr>
          <w:ilvl w:val="0"/>
          <w:numId w:val="0"/>
        </w:numPr>
        <w:rPr>
          <w:rFonts w:asciiTheme="minorHAnsi" w:hAnsiTheme="minorHAnsi"/>
          <w:sz w:val="22"/>
          <w:szCs w:val="22"/>
        </w:rPr>
      </w:pPr>
      <w:bookmarkStart w:id="4" w:name="_GoBack"/>
      <w:bookmarkEnd w:id="4"/>
    </w:p>
    <w:sectPr w:rsidR="004F644E" w:rsidRPr="001A22D3" w:rsidSect="009E28CB">
      <w:pgSz w:w="11906" w:h="16838" w:code="9"/>
      <w:pgMar w:top="1134" w:right="1134" w:bottom="1134" w:left="1134"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294E" w14:textId="77777777" w:rsidR="00EE604F" w:rsidRDefault="00EE604F">
      <w:r>
        <w:separator/>
      </w:r>
    </w:p>
  </w:endnote>
  <w:endnote w:type="continuationSeparator" w:id="0">
    <w:p w14:paraId="3514A3CC" w14:textId="77777777" w:rsidR="00EE604F" w:rsidRDefault="00EE604F">
      <w:r>
        <w:continuationSeparator/>
      </w:r>
    </w:p>
  </w:endnote>
  <w:endnote w:type="continuationNotice" w:id="1">
    <w:p w14:paraId="7047AE43" w14:textId="77777777" w:rsidR="00EE604F" w:rsidRDefault="00E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1E68" w14:textId="77777777" w:rsidR="00EE604F" w:rsidRDefault="00EE604F">
      <w:r>
        <w:separator/>
      </w:r>
    </w:p>
  </w:footnote>
  <w:footnote w:type="continuationSeparator" w:id="0">
    <w:p w14:paraId="401A8B8E" w14:textId="77777777" w:rsidR="00EE604F" w:rsidRDefault="00EE604F">
      <w:r>
        <w:continuationSeparator/>
      </w:r>
    </w:p>
  </w:footnote>
  <w:footnote w:type="continuationNotice" w:id="1">
    <w:p w14:paraId="2686ADCF" w14:textId="77777777" w:rsidR="00EE604F" w:rsidRDefault="00EE604F"/>
  </w:footnote>
  <w:footnote w:id="2">
    <w:p w14:paraId="23B93CCC" w14:textId="77777777" w:rsidR="008962E4" w:rsidRDefault="008962E4" w:rsidP="00DC09E1">
      <w:pPr>
        <w:pStyle w:val="FootnoteText"/>
      </w:pPr>
      <w:r w:rsidRPr="00B73085">
        <w:rPr>
          <w:rStyle w:val="FootnoteReference"/>
          <w:sz w:val="16"/>
          <w:szCs w:val="16"/>
        </w:rPr>
        <w:footnoteRef/>
      </w:r>
      <w:r w:rsidRPr="00B73085">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54C"/>
    <w:multiLevelType w:val="hybridMultilevel"/>
    <w:tmpl w:val="AC76D35A"/>
    <w:lvl w:ilvl="0" w:tplc="042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D0B22"/>
    <w:multiLevelType w:val="multilevel"/>
    <w:tmpl w:val="9E8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F3425"/>
    <w:multiLevelType w:val="hybridMultilevel"/>
    <w:tmpl w:val="3B884366"/>
    <w:lvl w:ilvl="0" w:tplc="FBFC992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7135E"/>
    <w:multiLevelType w:val="hybridMultilevel"/>
    <w:tmpl w:val="544EC5D0"/>
    <w:lvl w:ilvl="0" w:tplc="040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0B24EF"/>
    <w:multiLevelType w:val="hybridMultilevel"/>
    <w:tmpl w:val="9FFAE356"/>
    <w:lvl w:ilvl="0" w:tplc="8B50FD72">
      <w:start w:val="20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4B6"/>
    <w:multiLevelType w:val="hybridMultilevel"/>
    <w:tmpl w:val="EC54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9153C"/>
    <w:multiLevelType w:val="multilevel"/>
    <w:tmpl w:val="BC6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261F4"/>
    <w:multiLevelType w:val="multilevel"/>
    <w:tmpl w:val="585071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713"/>
        </w:tabs>
        <w:ind w:left="1713"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D0059C4"/>
    <w:multiLevelType w:val="hybridMultilevel"/>
    <w:tmpl w:val="E4869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A7B77"/>
    <w:multiLevelType w:val="hybridMultilevel"/>
    <w:tmpl w:val="907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45357"/>
    <w:multiLevelType w:val="hybridMultilevel"/>
    <w:tmpl w:val="00B0B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3C50FA5"/>
    <w:multiLevelType w:val="hybridMultilevel"/>
    <w:tmpl w:val="B5ECD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F94"/>
    <w:multiLevelType w:val="hybridMultilevel"/>
    <w:tmpl w:val="AB84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F1566"/>
    <w:multiLevelType w:val="multilevel"/>
    <w:tmpl w:val="5B7A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126E3B"/>
    <w:multiLevelType w:val="multilevel"/>
    <w:tmpl w:val="460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E261B"/>
    <w:multiLevelType w:val="hybridMultilevel"/>
    <w:tmpl w:val="0CE28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B2892"/>
    <w:multiLevelType w:val="hybridMultilevel"/>
    <w:tmpl w:val="398E827A"/>
    <w:lvl w:ilvl="0" w:tplc="240411C2">
      <w:start w:val="1"/>
      <w:numFmt w:val="bullet"/>
      <w:lvlText w:val=""/>
      <w:lvlJc w:val="left"/>
      <w:pPr>
        <w:tabs>
          <w:tab w:val="num" w:pos="720"/>
        </w:tabs>
        <w:ind w:left="720" w:hanging="360"/>
      </w:pPr>
      <w:rPr>
        <w:rFonts w:ascii="Wingdings" w:hAnsi="Wingdings" w:hint="default"/>
      </w:rPr>
    </w:lvl>
    <w:lvl w:ilvl="1" w:tplc="B240E77A">
      <w:numFmt w:val="bullet"/>
      <w:lvlText w:val=""/>
      <w:lvlJc w:val="left"/>
      <w:pPr>
        <w:tabs>
          <w:tab w:val="num" w:pos="1440"/>
        </w:tabs>
        <w:ind w:left="1440" w:hanging="360"/>
      </w:pPr>
      <w:rPr>
        <w:rFonts w:ascii="Wingdings" w:hAnsi="Wingdings" w:hint="default"/>
      </w:rPr>
    </w:lvl>
    <w:lvl w:ilvl="2" w:tplc="D3BC6840" w:tentative="1">
      <w:start w:val="1"/>
      <w:numFmt w:val="bullet"/>
      <w:lvlText w:val=""/>
      <w:lvlJc w:val="left"/>
      <w:pPr>
        <w:tabs>
          <w:tab w:val="num" w:pos="2160"/>
        </w:tabs>
        <w:ind w:left="2160" w:hanging="360"/>
      </w:pPr>
      <w:rPr>
        <w:rFonts w:ascii="Wingdings" w:hAnsi="Wingdings" w:hint="default"/>
      </w:rPr>
    </w:lvl>
    <w:lvl w:ilvl="3" w:tplc="F60A6A50" w:tentative="1">
      <w:start w:val="1"/>
      <w:numFmt w:val="bullet"/>
      <w:lvlText w:val=""/>
      <w:lvlJc w:val="left"/>
      <w:pPr>
        <w:tabs>
          <w:tab w:val="num" w:pos="2880"/>
        </w:tabs>
        <w:ind w:left="2880" w:hanging="360"/>
      </w:pPr>
      <w:rPr>
        <w:rFonts w:ascii="Wingdings" w:hAnsi="Wingdings" w:hint="default"/>
      </w:rPr>
    </w:lvl>
    <w:lvl w:ilvl="4" w:tplc="1E6EBF92" w:tentative="1">
      <w:start w:val="1"/>
      <w:numFmt w:val="bullet"/>
      <w:lvlText w:val=""/>
      <w:lvlJc w:val="left"/>
      <w:pPr>
        <w:tabs>
          <w:tab w:val="num" w:pos="3600"/>
        </w:tabs>
        <w:ind w:left="3600" w:hanging="360"/>
      </w:pPr>
      <w:rPr>
        <w:rFonts w:ascii="Wingdings" w:hAnsi="Wingdings" w:hint="default"/>
      </w:rPr>
    </w:lvl>
    <w:lvl w:ilvl="5" w:tplc="C0309EBC" w:tentative="1">
      <w:start w:val="1"/>
      <w:numFmt w:val="bullet"/>
      <w:lvlText w:val=""/>
      <w:lvlJc w:val="left"/>
      <w:pPr>
        <w:tabs>
          <w:tab w:val="num" w:pos="4320"/>
        </w:tabs>
        <w:ind w:left="4320" w:hanging="360"/>
      </w:pPr>
      <w:rPr>
        <w:rFonts w:ascii="Wingdings" w:hAnsi="Wingdings" w:hint="default"/>
      </w:rPr>
    </w:lvl>
    <w:lvl w:ilvl="6" w:tplc="FAD44750" w:tentative="1">
      <w:start w:val="1"/>
      <w:numFmt w:val="bullet"/>
      <w:lvlText w:val=""/>
      <w:lvlJc w:val="left"/>
      <w:pPr>
        <w:tabs>
          <w:tab w:val="num" w:pos="5040"/>
        </w:tabs>
        <w:ind w:left="5040" w:hanging="360"/>
      </w:pPr>
      <w:rPr>
        <w:rFonts w:ascii="Wingdings" w:hAnsi="Wingdings" w:hint="default"/>
      </w:rPr>
    </w:lvl>
    <w:lvl w:ilvl="7" w:tplc="1646BD3E" w:tentative="1">
      <w:start w:val="1"/>
      <w:numFmt w:val="bullet"/>
      <w:lvlText w:val=""/>
      <w:lvlJc w:val="left"/>
      <w:pPr>
        <w:tabs>
          <w:tab w:val="num" w:pos="5760"/>
        </w:tabs>
        <w:ind w:left="5760" w:hanging="360"/>
      </w:pPr>
      <w:rPr>
        <w:rFonts w:ascii="Wingdings" w:hAnsi="Wingdings" w:hint="default"/>
      </w:rPr>
    </w:lvl>
    <w:lvl w:ilvl="8" w:tplc="97285C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30A02"/>
    <w:multiLevelType w:val="multilevel"/>
    <w:tmpl w:val="C3C4A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94147"/>
    <w:multiLevelType w:val="hybridMultilevel"/>
    <w:tmpl w:val="4844DBDA"/>
    <w:lvl w:ilvl="0" w:tplc="F1BA23F8">
      <w:start w:val="1"/>
      <w:numFmt w:val="bullet"/>
      <w:lvlText w:val=""/>
      <w:lvlJc w:val="left"/>
      <w:pPr>
        <w:tabs>
          <w:tab w:val="num" w:pos="1080"/>
        </w:tabs>
        <w:ind w:left="1080" w:hanging="360"/>
      </w:pPr>
      <w:rPr>
        <w:rFonts w:ascii="Symbol" w:hAnsi="Symbol" w:hint="default"/>
        <w:lang w:val="en-GB"/>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5B45CB"/>
    <w:multiLevelType w:val="hybridMultilevel"/>
    <w:tmpl w:val="858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B5E4C"/>
    <w:multiLevelType w:val="hybridMultilevel"/>
    <w:tmpl w:val="9DE60064"/>
    <w:lvl w:ilvl="0" w:tplc="4B9AB1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205FF"/>
    <w:multiLevelType w:val="hybridMultilevel"/>
    <w:tmpl w:val="DE2C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1263"/>
    <w:multiLevelType w:val="multilevel"/>
    <w:tmpl w:val="044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807EE"/>
    <w:multiLevelType w:val="hybridMultilevel"/>
    <w:tmpl w:val="D15A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32855"/>
    <w:multiLevelType w:val="multilevel"/>
    <w:tmpl w:val="EFF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9A3EBA"/>
    <w:multiLevelType w:val="multilevel"/>
    <w:tmpl w:val="3E1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716137"/>
    <w:multiLevelType w:val="hybridMultilevel"/>
    <w:tmpl w:val="ADD671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253A88"/>
    <w:multiLevelType w:val="hybridMultilevel"/>
    <w:tmpl w:val="6DC83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D1494"/>
    <w:multiLevelType w:val="hybridMultilevel"/>
    <w:tmpl w:val="3266F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0"/>
  </w:num>
  <w:num w:numId="4">
    <w:abstractNumId w:val="27"/>
  </w:num>
  <w:num w:numId="5">
    <w:abstractNumId w:val="5"/>
  </w:num>
  <w:num w:numId="6">
    <w:abstractNumId w:val="0"/>
  </w:num>
  <w:num w:numId="7">
    <w:abstractNumId w:val="3"/>
  </w:num>
  <w:num w:numId="8">
    <w:abstractNumId w:val="10"/>
  </w:num>
  <w:num w:numId="9">
    <w:abstractNumId w:val="19"/>
  </w:num>
  <w:num w:numId="10">
    <w:abstractNumId w:val="16"/>
  </w:num>
  <w:num w:numId="11">
    <w:abstractNumId w:val="28"/>
  </w:num>
  <w:num w:numId="12">
    <w:abstractNumId w:val="22"/>
  </w:num>
  <w:num w:numId="13">
    <w:abstractNumId w:val="1"/>
  </w:num>
  <w:num w:numId="14">
    <w:abstractNumId w:val="6"/>
  </w:num>
  <w:num w:numId="15">
    <w:abstractNumId w:val="25"/>
  </w:num>
  <w:num w:numId="16">
    <w:abstractNumId w:val="17"/>
  </w:num>
  <w:num w:numId="17">
    <w:abstractNumId w:val="24"/>
  </w:num>
  <w:num w:numId="18">
    <w:abstractNumId w:val="14"/>
  </w:num>
  <w:num w:numId="19">
    <w:abstractNumId w:val="13"/>
  </w:num>
  <w:num w:numId="20">
    <w:abstractNumId w:val="4"/>
  </w:num>
  <w:num w:numId="21">
    <w:abstractNumId w:val="21"/>
  </w:num>
  <w:num w:numId="22">
    <w:abstractNumId w:val="15"/>
  </w:num>
  <w:num w:numId="23">
    <w:abstractNumId w:val="11"/>
  </w:num>
  <w:num w:numId="24">
    <w:abstractNumId w:val="9"/>
  </w:num>
  <w:num w:numId="25">
    <w:abstractNumId w:val="26"/>
  </w:num>
  <w:num w:numId="26">
    <w:abstractNumId w:val="8"/>
  </w:num>
  <w:num w:numId="27">
    <w:abstractNumId w:val="2"/>
  </w:num>
  <w:num w:numId="28">
    <w:abstractNumId w:val="12"/>
  </w:num>
  <w:num w:numId="29">
    <w:abstractNumId w:val="21"/>
  </w:num>
  <w:num w:numId="30">
    <w:abstractNumId w:val="23"/>
  </w:num>
  <w:num w:numId="31">
    <w:abstractNumId w:val="21"/>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en-GB" w:vendorID="64" w:dllVersion="0" w:nlCheck="1" w:checkStyle="0"/>
  <w:activeWritingStyle w:appName="MSWord" w:lang="en-US" w:vendorID="64" w:dllVersion="0" w:nlCheck="1" w:checkStyle="0"/>
  <w:activeWritingStyle w:appName="MSWord" w:lang="es-BO" w:vendorID="64" w:dllVersion="0" w:nlCheck="1" w:checkStyle="1"/>
  <w:activeWritingStyle w:appName="MSWord" w:lang="da-DK" w:vendorID="64" w:dllVersion="0" w:nlCheck="1" w:checkStyle="0"/>
  <w:activeWritingStyle w:appName="MSWord" w:lang="fr-FR" w:vendorID="64" w:dllVersion="0" w:nlCheck="1" w:checkStyle="1"/>
  <w:activeWritingStyle w:appName="MSWord" w:lang="es-ES" w:vendorID="64" w:dllVersion="0" w:nlCheck="1" w:checkStyle="1"/>
  <w:activeWritingStyle w:appName="MSWord" w:lang="ru-RU" w:vendorID="64" w:dllVersion="0" w:nlCheck="1" w:checkStyle="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Formatting/>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A1"/>
    <w:rsid w:val="00000396"/>
    <w:rsid w:val="00001A41"/>
    <w:rsid w:val="00001D02"/>
    <w:rsid w:val="00002064"/>
    <w:rsid w:val="0000229F"/>
    <w:rsid w:val="0000284F"/>
    <w:rsid w:val="000032AA"/>
    <w:rsid w:val="00003D0F"/>
    <w:rsid w:val="000040F4"/>
    <w:rsid w:val="00004377"/>
    <w:rsid w:val="000047A4"/>
    <w:rsid w:val="000055EC"/>
    <w:rsid w:val="00005868"/>
    <w:rsid w:val="00005A84"/>
    <w:rsid w:val="00005AA3"/>
    <w:rsid w:val="00005AF9"/>
    <w:rsid w:val="00005BC2"/>
    <w:rsid w:val="00006A1C"/>
    <w:rsid w:val="0000731B"/>
    <w:rsid w:val="000073D9"/>
    <w:rsid w:val="00007ABF"/>
    <w:rsid w:val="00010287"/>
    <w:rsid w:val="0001068C"/>
    <w:rsid w:val="0001081C"/>
    <w:rsid w:val="0001137E"/>
    <w:rsid w:val="00011400"/>
    <w:rsid w:val="00011505"/>
    <w:rsid w:val="00011614"/>
    <w:rsid w:val="000117F5"/>
    <w:rsid w:val="00011A7D"/>
    <w:rsid w:val="00011D7F"/>
    <w:rsid w:val="0001249E"/>
    <w:rsid w:val="0001291E"/>
    <w:rsid w:val="000134F4"/>
    <w:rsid w:val="0001395F"/>
    <w:rsid w:val="00013F13"/>
    <w:rsid w:val="00014909"/>
    <w:rsid w:val="00014DC1"/>
    <w:rsid w:val="00015390"/>
    <w:rsid w:val="0001547B"/>
    <w:rsid w:val="0001551A"/>
    <w:rsid w:val="00015607"/>
    <w:rsid w:val="00015647"/>
    <w:rsid w:val="0001615E"/>
    <w:rsid w:val="00016BF9"/>
    <w:rsid w:val="00016C60"/>
    <w:rsid w:val="00017168"/>
    <w:rsid w:val="00017250"/>
    <w:rsid w:val="000173D0"/>
    <w:rsid w:val="00020055"/>
    <w:rsid w:val="00020479"/>
    <w:rsid w:val="00020513"/>
    <w:rsid w:val="000207D4"/>
    <w:rsid w:val="0002083E"/>
    <w:rsid w:val="00020C07"/>
    <w:rsid w:val="00021D36"/>
    <w:rsid w:val="00021FBE"/>
    <w:rsid w:val="0002264B"/>
    <w:rsid w:val="000230FE"/>
    <w:rsid w:val="00023BF6"/>
    <w:rsid w:val="00023DAA"/>
    <w:rsid w:val="00024A0B"/>
    <w:rsid w:val="00024B32"/>
    <w:rsid w:val="00024EDA"/>
    <w:rsid w:val="0002549D"/>
    <w:rsid w:val="00025701"/>
    <w:rsid w:val="000258B1"/>
    <w:rsid w:val="00025EAB"/>
    <w:rsid w:val="00025F62"/>
    <w:rsid w:val="00026251"/>
    <w:rsid w:val="00026EAA"/>
    <w:rsid w:val="000272B7"/>
    <w:rsid w:val="000273E7"/>
    <w:rsid w:val="00030104"/>
    <w:rsid w:val="00030785"/>
    <w:rsid w:val="000316BD"/>
    <w:rsid w:val="00032800"/>
    <w:rsid w:val="0003348B"/>
    <w:rsid w:val="00033976"/>
    <w:rsid w:val="0003407F"/>
    <w:rsid w:val="000340FC"/>
    <w:rsid w:val="0003443C"/>
    <w:rsid w:val="000345C8"/>
    <w:rsid w:val="00034B88"/>
    <w:rsid w:val="00035428"/>
    <w:rsid w:val="00035CDB"/>
    <w:rsid w:val="0003608E"/>
    <w:rsid w:val="00036468"/>
    <w:rsid w:val="0003691A"/>
    <w:rsid w:val="00036A95"/>
    <w:rsid w:val="000402E5"/>
    <w:rsid w:val="000403C9"/>
    <w:rsid w:val="000406AA"/>
    <w:rsid w:val="000406F1"/>
    <w:rsid w:val="00040AF7"/>
    <w:rsid w:val="0004133E"/>
    <w:rsid w:val="00041459"/>
    <w:rsid w:val="00042EB1"/>
    <w:rsid w:val="00043659"/>
    <w:rsid w:val="000437CC"/>
    <w:rsid w:val="000443F4"/>
    <w:rsid w:val="00044DA7"/>
    <w:rsid w:val="00045702"/>
    <w:rsid w:val="0004624B"/>
    <w:rsid w:val="000465B3"/>
    <w:rsid w:val="00046D4B"/>
    <w:rsid w:val="00046E93"/>
    <w:rsid w:val="0004761C"/>
    <w:rsid w:val="0004767C"/>
    <w:rsid w:val="000479B5"/>
    <w:rsid w:val="00047E5F"/>
    <w:rsid w:val="00047FF4"/>
    <w:rsid w:val="00050440"/>
    <w:rsid w:val="00050678"/>
    <w:rsid w:val="00050B20"/>
    <w:rsid w:val="0005191A"/>
    <w:rsid w:val="00051FF2"/>
    <w:rsid w:val="000520FD"/>
    <w:rsid w:val="0005307A"/>
    <w:rsid w:val="000533EA"/>
    <w:rsid w:val="000539DC"/>
    <w:rsid w:val="00053CB7"/>
    <w:rsid w:val="00053FC2"/>
    <w:rsid w:val="0005437A"/>
    <w:rsid w:val="00054400"/>
    <w:rsid w:val="000547D3"/>
    <w:rsid w:val="0005535E"/>
    <w:rsid w:val="00055E20"/>
    <w:rsid w:val="00055EC1"/>
    <w:rsid w:val="00056018"/>
    <w:rsid w:val="00056078"/>
    <w:rsid w:val="00056174"/>
    <w:rsid w:val="000563BA"/>
    <w:rsid w:val="000567CB"/>
    <w:rsid w:val="00056BFB"/>
    <w:rsid w:val="00056C6E"/>
    <w:rsid w:val="00056DC8"/>
    <w:rsid w:val="00056EE2"/>
    <w:rsid w:val="00057004"/>
    <w:rsid w:val="0005701E"/>
    <w:rsid w:val="000573D1"/>
    <w:rsid w:val="0005798B"/>
    <w:rsid w:val="00060256"/>
    <w:rsid w:val="000602BE"/>
    <w:rsid w:val="000607F2"/>
    <w:rsid w:val="00061248"/>
    <w:rsid w:val="00061777"/>
    <w:rsid w:val="00061794"/>
    <w:rsid w:val="00061AA4"/>
    <w:rsid w:val="00061E2D"/>
    <w:rsid w:val="00061E6E"/>
    <w:rsid w:val="000628F3"/>
    <w:rsid w:val="00063173"/>
    <w:rsid w:val="00063647"/>
    <w:rsid w:val="00063871"/>
    <w:rsid w:val="0006455F"/>
    <w:rsid w:val="000649B4"/>
    <w:rsid w:val="00064F1E"/>
    <w:rsid w:val="000651D8"/>
    <w:rsid w:val="000654E5"/>
    <w:rsid w:val="000663C9"/>
    <w:rsid w:val="00066C70"/>
    <w:rsid w:val="00066D83"/>
    <w:rsid w:val="00067352"/>
    <w:rsid w:val="00070A17"/>
    <w:rsid w:val="00070A56"/>
    <w:rsid w:val="00070B70"/>
    <w:rsid w:val="00070EC2"/>
    <w:rsid w:val="000714A0"/>
    <w:rsid w:val="000718D4"/>
    <w:rsid w:val="000719ED"/>
    <w:rsid w:val="00073226"/>
    <w:rsid w:val="00073A84"/>
    <w:rsid w:val="00073B0F"/>
    <w:rsid w:val="00073C2B"/>
    <w:rsid w:val="00075513"/>
    <w:rsid w:val="000756F5"/>
    <w:rsid w:val="000764CE"/>
    <w:rsid w:val="0007691B"/>
    <w:rsid w:val="00076A01"/>
    <w:rsid w:val="00076B38"/>
    <w:rsid w:val="0007707E"/>
    <w:rsid w:val="0007719E"/>
    <w:rsid w:val="0007725F"/>
    <w:rsid w:val="0007784A"/>
    <w:rsid w:val="00077BFF"/>
    <w:rsid w:val="00077ED8"/>
    <w:rsid w:val="0008124B"/>
    <w:rsid w:val="0008175E"/>
    <w:rsid w:val="000818A2"/>
    <w:rsid w:val="00081F1E"/>
    <w:rsid w:val="00081FCE"/>
    <w:rsid w:val="0008203B"/>
    <w:rsid w:val="0008375B"/>
    <w:rsid w:val="00083965"/>
    <w:rsid w:val="00083C30"/>
    <w:rsid w:val="000844B4"/>
    <w:rsid w:val="00084847"/>
    <w:rsid w:val="00084A46"/>
    <w:rsid w:val="00084B49"/>
    <w:rsid w:val="000852F9"/>
    <w:rsid w:val="00085D4A"/>
    <w:rsid w:val="000865B7"/>
    <w:rsid w:val="0008683B"/>
    <w:rsid w:val="00086C31"/>
    <w:rsid w:val="00087160"/>
    <w:rsid w:val="000873AA"/>
    <w:rsid w:val="0008753D"/>
    <w:rsid w:val="00090260"/>
    <w:rsid w:val="000902D0"/>
    <w:rsid w:val="00090AB7"/>
    <w:rsid w:val="00090FDF"/>
    <w:rsid w:val="00091298"/>
    <w:rsid w:val="0009181F"/>
    <w:rsid w:val="000918FD"/>
    <w:rsid w:val="00092043"/>
    <w:rsid w:val="00092598"/>
    <w:rsid w:val="00092DB5"/>
    <w:rsid w:val="00093BFD"/>
    <w:rsid w:val="00094455"/>
    <w:rsid w:val="0009492D"/>
    <w:rsid w:val="00094F51"/>
    <w:rsid w:val="00095433"/>
    <w:rsid w:val="00095C02"/>
    <w:rsid w:val="00096283"/>
    <w:rsid w:val="00096E53"/>
    <w:rsid w:val="000975D1"/>
    <w:rsid w:val="00097759"/>
    <w:rsid w:val="000A0092"/>
    <w:rsid w:val="000A05B1"/>
    <w:rsid w:val="000A1246"/>
    <w:rsid w:val="000A137B"/>
    <w:rsid w:val="000A1399"/>
    <w:rsid w:val="000A189B"/>
    <w:rsid w:val="000A19D3"/>
    <w:rsid w:val="000A2772"/>
    <w:rsid w:val="000A2B70"/>
    <w:rsid w:val="000A35EF"/>
    <w:rsid w:val="000A36E5"/>
    <w:rsid w:val="000A3C1C"/>
    <w:rsid w:val="000A4498"/>
    <w:rsid w:val="000A4636"/>
    <w:rsid w:val="000A4778"/>
    <w:rsid w:val="000A50DC"/>
    <w:rsid w:val="000A53D7"/>
    <w:rsid w:val="000A5482"/>
    <w:rsid w:val="000A5598"/>
    <w:rsid w:val="000A5FDA"/>
    <w:rsid w:val="000A636C"/>
    <w:rsid w:val="000A65C5"/>
    <w:rsid w:val="000A6A68"/>
    <w:rsid w:val="000A72CF"/>
    <w:rsid w:val="000B07C3"/>
    <w:rsid w:val="000B0EA7"/>
    <w:rsid w:val="000B173D"/>
    <w:rsid w:val="000B177B"/>
    <w:rsid w:val="000B1F69"/>
    <w:rsid w:val="000B27D3"/>
    <w:rsid w:val="000B2CBF"/>
    <w:rsid w:val="000B34B8"/>
    <w:rsid w:val="000B495D"/>
    <w:rsid w:val="000B4C47"/>
    <w:rsid w:val="000B5446"/>
    <w:rsid w:val="000B5E85"/>
    <w:rsid w:val="000B6000"/>
    <w:rsid w:val="000B6027"/>
    <w:rsid w:val="000B62B7"/>
    <w:rsid w:val="000B6605"/>
    <w:rsid w:val="000B6937"/>
    <w:rsid w:val="000B694F"/>
    <w:rsid w:val="000B69DA"/>
    <w:rsid w:val="000B6A29"/>
    <w:rsid w:val="000B6D35"/>
    <w:rsid w:val="000B6D4C"/>
    <w:rsid w:val="000C026B"/>
    <w:rsid w:val="000C0ACB"/>
    <w:rsid w:val="000C0AD2"/>
    <w:rsid w:val="000C0E76"/>
    <w:rsid w:val="000C1120"/>
    <w:rsid w:val="000C1312"/>
    <w:rsid w:val="000C1587"/>
    <w:rsid w:val="000C259B"/>
    <w:rsid w:val="000C2711"/>
    <w:rsid w:val="000C298C"/>
    <w:rsid w:val="000C3072"/>
    <w:rsid w:val="000C35B9"/>
    <w:rsid w:val="000C36EF"/>
    <w:rsid w:val="000C5323"/>
    <w:rsid w:val="000C5C2A"/>
    <w:rsid w:val="000C5CF9"/>
    <w:rsid w:val="000C5DD7"/>
    <w:rsid w:val="000C6515"/>
    <w:rsid w:val="000C66E7"/>
    <w:rsid w:val="000C6D70"/>
    <w:rsid w:val="000C6DA3"/>
    <w:rsid w:val="000C7786"/>
    <w:rsid w:val="000D02EA"/>
    <w:rsid w:val="000D056D"/>
    <w:rsid w:val="000D079C"/>
    <w:rsid w:val="000D0B7A"/>
    <w:rsid w:val="000D130E"/>
    <w:rsid w:val="000D1B90"/>
    <w:rsid w:val="000D23BF"/>
    <w:rsid w:val="000D26D4"/>
    <w:rsid w:val="000D27FF"/>
    <w:rsid w:val="000D39C8"/>
    <w:rsid w:val="000D3D7D"/>
    <w:rsid w:val="000D4015"/>
    <w:rsid w:val="000D4195"/>
    <w:rsid w:val="000D4776"/>
    <w:rsid w:val="000D4CD7"/>
    <w:rsid w:val="000D4E80"/>
    <w:rsid w:val="000D6019"/>
    <w:rsid w:val="000D610C"/>
    <w:rsid w:val="000D641E"/>
    <w:rsid w:val="000D68B3"/>
    <w:rsid w:val="000D7D18"/>
    <w:rsid w:val="000E00D5"/>
    <w:rsid w:val="000E01A9"/>
    <w:rsid w:val="000E0C63"/>
    <w:rsid w:val="000E0F57"/>
    <w:rsid w:val="000E10BB"/>
    <w:rsid w:val="000E1805"/>
    <w:rsid w:val="000E18E1"/>
    <w:rsid w:val="000E3463"/>
    <w:rsid w:val="000E36E6"/>
    <w:rsid w:val="000E397C"/>
    <w:rsid w:val="000E3C78"/>
    <w:rsid w:val="000E42C6"/>
    <w:rsid w:val="000E55B4"/>
    <w:rsid w:val="000E7623"/>
    <w:rsid w:val="000F04EE"/>
    <w:rsid w:val="000F0BAF"/>
    <w:rsid w:val="000F0CFD"/>
    <w:rsid w:val="000F1078"/>
    <w:rsid w:val="000F138A"/>
    <w:rsid w:val="000F13B3"/>
    <w:rsid w:val="000F1AEC"/>
    <w:rsid w:val="000F2645"/>
    <w:rsid w:val="000F29A4"/>
    <w:rsid w:val="000F321D"/>
    <w:rsid w:val="000F3816"/>
    <w:rsid w:val="000F387C"/>
    <w:rsid w:val="000F3EE4"/>
    <w:rsid w:val="000F4EA2"/>
    <w:rsid w:val="000F4FF8"/>
    <w:rsid w:val="000F5527"/>
    <w:rsid w:val="000F570A"/>
    <w:rsid w:val="000F586F"/>
    <w:rsid w:val="000F5D5A"/>
    <w:rsid w:val="000F5FDA"/>
    <w:rsid w:val="000F67B8"/>
    <w:rsid w:val="000F698F"/>
    <w:rsid w:val="000F6C64"/>
    <w:rsid w:val="000F711A"/>
    <w:rsid w:val="000F7418"/>
    <w:rsid w:val="000F787A"/>
    <w:rsid w:val="000F7EED"/>
    <w:rsid w:val="001013E4"/>
    <w:rsid w:val="00101AE7"/>
    <w:rsid w:val="00102402"/>
    <w:rsid w:val="00102502"/>
    <w:rsid w:val="001026FE"/>
    <w:rsid w:val="00102709"/>
    <w:rsid w:val="0010325D"/>
    <w:rsid w:val="001034AD"/>
    <w:rsid w:val="0010442A"/>
    <w:rsid w:val="0010468F"/>
    <w:rsid w:val="00104AE9"/>
    <w:rsid w:val="001051BC"/>
    <w:rsid w:val="00105337"/>
    <w:rsid w:val="001054FC"/>
    <w:rsid w:val="001059F7"/>
    <w:rsid w:val="00105C1D"/>
    <w:rsid w:val="00105CC3"/>
    <w:rsid w:val="001067FD"/>
    <w:rsid w:val="00106973"/>
    <w:rsid w:val="00106A50"/>
    <w:rsid w:val="001070BF"/>
    <w:rsid w:val="001072D6"/>
    <w:rsid w:val="001073B1"/>
    <w:rsid w:val="00107863"/>
    <w:rsid w:val="00107C19"/>
    <w:rsid w:val="001102F2"/>
    <w:rsid w:val="0011042D"/>
    <w:rsid w:val="0011079C"/>
    <w:rsid w:val="0011079D"/>
    <w:rsid w:val="00110AA4"/>
    <w:rsid w:val="00111217"/>
    <w:rsid w:val="001115AD"/>
    <w:rsid w:val="00111F4A"/>
    <w:rsid w:val="001122E1"/>
    <w:rsid w:val="001124B9"/>
    <w:rsid w:val="00112B21"/>
    <w:rsid w:val="00112ED1"/>
    <w:rsid w:val="00112F34"/>
    <w:rsid w:val="00113C7D"/>
    <w:rsid w:val="0011434C"/>
    <w:rsid w:val="0011451A"/>
    <w:rsid w:val="00115174"/>
    <w:rsid w:val="0011535E"/>
    <w:rsid w:val="001155A5"/>
    <w:rsid w:val="00115E80"/>
    <w:rsid w:val="00115E99"/>
    <w:rsid w:val="00115F2D"/>
    <w:rsid w:val="00116065"/>
    <w:rsid w:val="001167DD"/>
    <w:rsid w:val="001168A0"/>
    <w:rsid w:val="00116AAF"/>
    <w:rsid w:val="00116C77"/>
    <w:rsid w:val="001178AD"/>
    <w:rsid w:val="00117AB4"/>
    <w:rsid w:val="00117B04"/>
    <w:rsid w:val="001203A2"/>
    <w:rsid w:val="00120761"/>
    <w:rsid w:val="00120F94"/>
    <w:rsid w:val="0012102C"/>
    <w:rsid w:val="001213EB"/>
    <w:rsid w:val="0012147F"/>
    <w:rsid w:val="00121A5C"/>
    <w:rsid w:val="0012257F"/>
    <w:rsid w:val="00123C99"/>
    <w:rsid w:val="0012414D"/>
    <w:rsid w:val="0012483C"/>
    <w:rsid w:val="00124A9B"/>
    <w:rsid w:val="0012628C"/>
    <w:rsid w:val="0012712B"/>
    <w:rsid w:val="00127190"/>
    <w:rsid w:val="00127394"/>
    <w:rsid w:val="001279D3"/>
    <w:rsid w:val="00130A8C"/>
    <w:rsid w:val="00130C73"/>
    <w:rsid w:val="00130FB2"/>
    <w:rsid w:val="001311EA"/>
    <w:rsid w:val="0013139A"/>
    <w:rsid w:val="001314B7"/>
    <w:rsid w:val="00131777"/>
    <w:rsid w:val="00132875"/>
    <w:rsid w:val="00132938"/>
    <w:rsid w:val="0013327F"/>
    <w:rsid w:val="00133644"/>
    <w:rsid w:val="00133F69"/>
    <w:rsid w:val="001340DE"/>
    <w:rsid w:val="00134435"/>
    <w:rsid w:val="0013487E"/>
    <w:rsid w:val="0013495C"/>
    <w:rsid w:val="00134B76"/>
    <w:rsid w:val="00134EA2"/>
    <w:rsid w:val="001351CC"/>
    <w:rsid w:val="00135239"/>
    <w:rsid w:val="00135457"/>
    <w:rsid w:val="001355E1"/>
    <w:rsid w:val="0013602D"/>
    <w:rsid w:val="001361C2"/>
    <w:rsid w:val="00136424"/>
    <w:rsid w:val="00136C0E"/>
    <w:rsid w:val="00137587"/>
    <w:rsid w:val="00137884"/>
    <w:rsid w:val="00137C0D"/>
    <w:rsid w:val="00137CF9"/>
    <w:rsid w:val="00137EF8"/>
    <w:rsid w:val="00142DBD"/>
    <w:rsid w:val="00142F29"/>
    <w:rsid w:val="00142FB3"/>
    <w:rsid w:val="001435F3"/>
    <w:rsid w:val="00143EEE"/>
    <w:rsid w:val="00145693"/>
    <w:rsid w:val="00145C23"/>
    <w:rsid w:val="00145EB0"/>
    <w:rsid w:val="00146211"/>
    <w:rsid w:val="00146494"/>
    <w:rsid w:val="00146898"/>
    <w:rsid w:val="00146CFD"/>
    <w:rsid w:val="00146E3E"/>
    <w:rsid w:val="00147282"/>
    <w:rsid w:val="00147B4F"/>
    <w:rsid w:val="00150070"/>
    <w:rsid w:val="0015049B"/>
    <w:rsid w:val="00150F53"/>
    <w:rsid w:val="00151479"/>
    <w:rsid w:val="001515DE"/>
    <w:rsid w:val="00151FB8"/>
    <w:rsid w:val="00151FDC"/>
    <w:rsid w:val="001522F8"/>
    <w:rsid w:val="001523B9"/>
    <w:rsid w:val="00152690"/>
    <w:rsid w:val="001527B7"/>
    <w:rsid w:val="001527F3"/>
    <w:rsid w:val="001528B4"/>
    <w:rsid w:val="001529FF"/>
    <w:rsid w:val="00152A0F"/>
    <w:rsid w:val="00153226"/>
    <w:rsid w:val="001532FC"/>
    <w:rsid w:val="001537C2"/>
    <w:rsid w:val="001553E8"/>
    <w:rsid w:val="00155787"/>
    <w:rsid w:val="00156D79"/>
    <w:rsid w:val="00157B47"/>
    <w:rsid w:val="0016000E"/>
    <w:rsid w:val="001601B5"/>
    <w:rsid w:val="001603E0"/>
    <w:rsid w:val="001604BA"/>
    <w:rsid w:val="001607CB"/>
    <w:rsid w:val="00161696"/>
    <w:rsid w:val="00161CE8"/>
    <w:rsid w:val="00162336"/>
    <w:rsid w:val="001628E6"/>
    <w:rsid w:val="00162F6D"/>
    <w:rsid w:val="001630D5"/>
    <w:rsid w:val="001637F9"/>
    <w:rsid w:val="00163C44"/>
    <w:rsid w:val="00163EF7"/>
    <w:rsid w:val="00165042"/>
    <w:rsid w:val="00165061"/>
    <w:rsid w:val="001654DB"/>
    <w:rsid w:val="001668EB"/>
    <w:rsid w:val="00166B39"/>
    <w:rsid w:val="00167150"/>
    <w:rsid w:val="001675B9"/>
    <w:rsid w:val="00167A76"/>
    <w:rsid w:val="00167A77"/>
    <w:rsid w:val="00167F13"/>
    <w:rsid w:val="001705AB"/>
    <w:rsid w:val="0017097E"/>
    <w:rsid w:val="00170C2B"/>
    <w:rsid w:val="00170F38"/>
    <w:rsid w:val="001713AA"/>
    <w:rsid w:val="00172A47"/>
    <w:rsid w:val="00173359"/>
    <w:rsid w:val="0017343F"/>
    <w:rsid w:val="001737B2"/>
    <w:rsid w:val="00173C31"/>
    <w:rsid w:val="00174166"/>
    <w:rsid w:val="001741A9"/>
    <w:rsid w:val="001744E6"/>
    <w:rsid w:val="00175B42"/>
    <w:rsid w:val="00175B7C"/>
    <w:rsid w:val="00175C41"/>
    <w:rsid w:val="0017615D"/>
    <w:rsid w:val="00176453"/>
    <w:rsid w:val="00177067"/>
    <w:rsid w:val="0017771D"/>
    <w:rsid w:val="00177B9A"/>
    <w:rsid w:val="00180118"/>
    <w:rsid w:val="00181113"/>
    <w:rsid w:val="0018168F"/>
    <w:rsid w:val="00181896"/>
    <w:rsid w:val="001818E2"/>
    <w:rsid w:val="00181F39"/>
    <w:rsid w:val="001824B0"/>
    <w:rsid w:val="00182E34"/>
    <w:rsid w:val="001833A0"/>
    <w:rsid w:val="00183EFE"/>
    <w:rsid w:val="001843A1"/>
    <w:rsid w:val="00184766"/>
    <w:rsid w:val="00184C0A"/>
    <w:rsid w:val="00184CC4"/>
    <w:rsid w:val="00184EE4"/>
    <w:rsid w:val="0018539F"/>
    <w:rsid w:val="001863D2"/>
    <w:rsid w:val="001870F0"/>
    <w:rsid w:val="00187B61"/>
    <w:rsid w:val="00187E52"/>
    <w:rsid w:val="00187FA2"/>
    <w:rsid w:val="001906DF"/>
    <w:rsid w:val="00190EF1"/>
    <w:rsid w:val="00191137"/>
    <w:rsid w:val="00191513"/>
    <w:rsid w:val="0019164C"/>
    <w:rsid w:val="00191BEE"/>
    <w:rsid w:val="001922BD"/>
    <w:rsid w:val="0019235D"/>
    <w:rsid w:val="00192AE1"/>
    <w:rsid w:val="00192E9A"/>
    <w:rsid w:val="00193055"/>
    <w:rsid w:val="001931C4"/>
    <w:rsid w:val="0019393D"/>
    <w:rsid w:val="00193F7D"/>
    <w:rsid w:val="00194641"/>
    <w:rsid w:val="001948E8"/>
    <w:rsid w:val="00196079"/>
    <w:rsid w:val="00196318"/>
    <w:rsid w:val="0019672C"/>
    <w:rsid w:val="00196EE7"/>
    <w:rsid w:val="0019748C"/>
    <w:rsid w:val="0019790F"/>
    <w:rsid w:val="00197AAE"/>
    <w:rsid w:val="001A041D"/>
    <w:rsid w:val="001A1BE1"/>
    <w:rsid w:val="001A1D80"/>
    <w:rsid w:val="001A1EB3"/>
    <w:rsid w:val="001A1F99"/>
    <w:rsid w:val="001A2049"/>
    <w:rsid w:val="001A22D3"/>
    <w:rsid w:val="001A2C55"/>
    <w:rsid w:val="001A3125"/>
    <w:rsid w:val="001A3508"/>
    <w:rsid w:val="001A4075"/>
    <w:rsid w:val="001A4384"/>
    <w:rsid w:val="001A4FC6"/>
    <w:rsid w:val="001A5643"/>
    <w:rsid w:val="001A57DF"/>
    <w:rsid w:val="001A654B"/>
    <w:rsid w:val="001A669B"/>
    <w:rsid w:val="001A6735"/>
    <w:rsid w:val="001A7106"/>
    <w:rsid w:val="001A73AD"/>
    <w:rsid w:val="001B065F"/>
    <w:rsid w:val="001B082E"/>
    <w:rsid w:val="001B08F8"/>
    <w:rsid w:val="001B0BD7"/>
    <w:rsid w:val="001B0CDE"/>
    <w:rsid w:val="001B0F86"/>
    <w:rsid w:val="001B0FC1"/>
    <w:rsid w:val="001B147E"/>
    <w:rsid w:val="001B1A81"/>
    <w:rsid w:val="001B1F34"/>
    <w:rsid w:val="001B28D4"/>
    <w:rsid w:val="001B2B15"/>
    <w:rsid w:val="001B3264"/>
    <w:rsid w:val="001B32CB"/>
    <w:rsid w:val="001B4941"/>
    <w:rsid w:val="001B4D62"/>
    <w:rsid w:val="001B4DDC"/>
    <w:rsid w:val="001B5405"/>
    <w:rsid w:val="001B59BA"/>
    <w:rsid w:val="001B60CF"/>
    <w:rsid w:val="001B6556"/>
    <w:rsid w:val="001B68E2"/>
    <w:rsid w:val="001B6B99"/>
    <w:rsid w:val="001B72D4"/>
    <w:rsid w:val="001B793F"/>
    <w:rsid w:val="001C0235"/>
    <w:rsid w:val="001C0322"/>
    <w:rsid w:val="001C04A9"/>
    <w:rsid w:val="001C0797"/>
    <w:rsid w:val="001C0BE3"/>
    <w:rsid w:val="001C0C6F"/>
    <w:rsid w:val="001C15A6"/>
    <w:rsid w:val="001C1B98"/>
    <w:rsid w:val="001C1DEB"/>
    <w:rsid w:val="001C1E4F"/>
    <w:rsid w:val="001C200B"/>
    <w:rsid w:val="001C2B2B"/>
    <w:rsid w:val="001C355C"/>
    <w:rsid w:val="001C3614"/>
    <w:rsid w:val="001C3AF7"/>
    <w:rsid w:val="001C4593"/>
    <w:rsid w:val="001C561F"/>
    <w:rsid w:val="001C5CE6"/>
    <w:rsid w:val="001C65A8"/>
    <w:rsid w:val="001C7554"/>
    <w:rsid w:val="001C7E93"/>
    <w:rsid w:val="001D09E6"/>
    <w:rsid w:val="001D0A18"/>
    <w:rsid w:val="001D0BE9"/>
    <w:rsid w:val="001D1252"/>
    <w:rsid w:val="001D1889"/>
    <w:rsid w:val="001D1D05"/>
    <w:rsid w:val="001D29B4"/>
    <w:rsid w:val="001D374C"/>
    <w:rsid w:val="001D38A9"/>
    <w:rsid w:val="001D3A4B"/>
    <w:rsid w:val="001D3F11"/>
    <w:rsid w:val="001D414E"/>
    <w:rsid w:val="001D47F8"/>
    <w:rsid w:val="001D4A8A"/>
    <w:rsid w:val="001D4ED8"/>
    <w:rsid w:val="001D5234"/>
    <w:rsid w:val="001D52BA"/>
    <w:rsid w:val="001D5898"/>
    <w:rsid w:val="001D6166"/>
    <w:rsid w:val="001D63E8"/>
    <w:rsid w:val="001D641E"/>
    <w:rsid w:val="001D6D64"/>
    <w:rsid w:val="001D6ECE"/>
    <w:rsid w:val="001D71B3"/>
    <w:rsid w:val="001D71E3"/>
    <w:rsid w:val="001D7792"/>
    <w:rsid w:val="001E0206"/>
    <w:rsid w:val="001E02A1"/>
    <w:rsid w:val="001E033B"/>
    <w:rsid w:val="001E051B"/>
    <w:rsid w:val="001E0B8F"/>
    <w:rsid w:val="001E0D81"/>
    <w:rsid w:val="001E1091"/>
    <w:rsid w:val="001E143F"/>
    <w:rsid w:val="001E1482"/>
    <w:rsid w:val="001E14B7"/>
    <w:rsid w:val="001E1683"/>
    <w:rsid w:val="001E1893"/>
    <w:rsid w:val="001E250B"/>
    <w:rsid w:val="001E252E"/>
    <w:rsid w:val="001E264B"/>
    <w:rsid w:val="001E2652"/>
    <w:rsid w:val="001E2A68"/>
    <w:rsid w:val="001E2E23"/>
    <w:rsid w:val="001E34B9"/>
    <w:rsid w:val="001E3A9F"/>
    <w:rsid w:val="001E3D7C"/>
    <w:rsid w:val="001E3F97"/>
    <w:rsid w:val="001E45EF"/>
    <w:rsid w:val="001E46B4"/>
    <w:rsid w:val="001E4D92"/>
    <w:rsid w:val="001E5138"/>
    <w:rsid w:val="001E5598"/>
    <w:rsid w:val="001E5629"/>
    <w:rsid w:val="001E5AAF"/>
    <w:rsid w:val="001E5FFC"/>
    <w:rsid w:val="001E6175"/>
    <w:rsid w:val="001E6616"/>
    <w:rsid w:val="001E6C0C"/>
    <w:rsid w:val="001E6C1E"/>
    <w:rsid w:val="001E6D2B"/>
    <w:rsid w:val="001E795F"/>
    <w:rsid w:val="001E79DA"/>
    <w:rsid w:val="001F055C"/>
    <w:rsid w:val="001F1242"/>
    <w:rsid w:val="001F1783"/>
    <w:rsid w:val="001F2024"/>
    <w:rsid w:val="001F2A0E"/>
    <w:rsid w:val="001F33CE"/>
    <w:rsid w:val="001F3583"/>
    <w:rsid w:val="001F3624"/>
    <w:rsid w:val="001F3B6C"/>
    <w:rsid w:val="001F3BC4"/>
    <w:rsid w:val="001F4123"/>
    <w:rsid w:val="001F4A9E"/>
    <w:rsid w:val="001F4C62"/>
    <w:rsid w:val="001F543C"/>
    <w:rsid w:val="001F59CC"/>
    <w:rsid w:val="001F66B1"/>
    <w:rsid w:val="001F699C"/>
    <w:rsid w:val="001F69CF"/>
    <w:rsid w:val="001F6D1E"/>
    <w:rsid w:val="001F7BE7"/>
    <w:rsid w:val="00201796"/>
    <w:rsid w:val="0020199A"/>
    <w:rsid w:val="00202103"/>
    <w:rsid w:val="00202448"/>
    <w:rsid w:val="0020251D"/>
    <w:rsid w:val="00202AA4"/>
    <w:rsid w:val="00203016"/>
    <w:rsid w:val="002032CC"/>
    <w:rsid w:val="00203886"/>
    <w:rsid w:val="00203A4D"/>
    <w:rsid w:val="0020434E"/>
    <w:rsid w:val="002044E0"/>
    <w:rsid w:val="002046C6"/>
    <w:rsid w:val="00204CD6"/>
    <w:rsid w:val="00205117"/>
    <w:rsid w:val="002052CA"/>
    <w:rsid w:val="002052CE"/>
    <w:rsid w:val="00205969"/>
    <w:rsid w:val="00206B04"/>
    <w:rsid w:val="00206C4D"/>
    <w:rsid w:val="0020769B"/>
    <w:rsid w:val="00207927"/>
    <w:rsid w:val="00207A99"/>
    <w:rsid w:val="00207EB6"/>
    <w:rsid w:val="00210948"/>
    <w:rsid w:val="002109A6"/>
    <w:rsid w:val="0021102D"/>
    <w:rsid w:val="0021170A"/>
    <w:rsid w:val="00211D99"/>
    <w:rsid w:val="00212F2D"/>
    <w:rsid w:val="0021307D"/>
    <w:rsid w:val="0021374C"/>
    <w:rsid w:val="00213A19"/>
    <w:rsid w:val="00213CAB"/>
    <w:rsid w:val="002140A8"/>
    <w:rsid w:val="002148CD"/>
    <w:rsid w:val="00215035"/>
    <w:rsid w:val="00215078"/>
    <w:rsid w:val="0021531A"/>
    <w:rsid w:val="00215921"/>
    <w:rsid w:val="002167F3"/>
    <w:rsid w:val="00216A32"/>
    <w:rsid w:val="00216A5F"/>
    <w:rsid w:val="00216B38"/>
    <w:rsid w:val="00216C59"/>
    <w:rsid w:val="00216C8C"/>
    <w:rsid w:val="00217338"/>
    <w:rsid w:val="0021764B"/>
    <w:rsid w:val="00217E20"/>
    <w:rsid w:val="00220208"/>
    <w:rsid w:val="0022038A"/>
    <w:rsid w:val="00220950"/>
    <w:rsid w:val="00220D01"/>
    <w:rsid w:val="002210ED"/>
    <w:rsid w:val="002217E8"/>
    <w:rsid w:val="00221D36"/>
    <w:rsid w:val="00221E7B"/>
    <w:rsid w:val="0022201B"/>
    <w:rsid w:val="002223B0"/>
    <w:rsid w:val="002226EE"/>
    <w:rsid w:val="00222BE2"/>
    <w:rsid w:val="00222EE7"/>
    <w:rsid w:val="00223074"/>
    <w:rsid w:val="00223795"/>
    <w:rsid w:val="00223853"/>
    <w:rsid w:val="00223BC7"/>
    <w:rsid w:val="00223C84"/>
    <w:rsid w:val="00223DF1"/>
    <w:rsid w:val="002246C2"/>
    <w:rsid w:val="00224E8E"/>
    <w:rsid w:val="00225127"/>
    <w:rsid w:val="002260B0"/>
    <w:rsid w:val="00226CAE"/>
    <w:rsid w:val="0022790B"/>
    <w:rsid w:val="00230956"/>
    <w:rsid w:val="0023147C"/>
    <w:rsid w:val="00232044"/>
    <w:rsid w:val="00234BD3"/>
    <w:rsid w:val="00234C7F"/>
    <w:rsid w:val="00235322"/>
    <w:rsid w:val="00235428"/>
    <w:rsid w:val="00236069"/>
    <w:rsid w:val="00236381"/>
    <w:rsid w:val="00236528"/>
    <w:rsid w:val="00236843"/>
    <w:rsid w:val="00237891"/>
    <w:rsid w:val="002379EC"/>
    <w:rsid w:val="002406BA"/>
    <w:rsid w:val="002408B0"/>
    <w:rsid w:val="00240C4E"/>
    <w:rsid w:val="002417B3"/>
    <w:rsid w:val="00241A50"/>
    <w:rsid w:val="00241BD6"/>
    <w:rsid w:val="00241CD8"/>
    <w:rsid w:val="00242120"/>
    <w:rsid w:val="00242424"/>
    <w:rsid w:val="00242D30"/>
    <w:rsid w:val="00242EAE"/>
    <w:rsid w:val="0024316A"/>
    <w:rsid w:val="0024354A"/>
    <w:rsid w:val="0024374F"/>
    <w:rsid w:val="00243C54"/>
    <w:rsid w:val="0024415F"/>
    <w:rsid w:val="00245927"/>
    <w:rsid w:val="00245C5C"/>
    <w:rsid w:val="00245F02"/>
    <w:rsid w:val="00246753"/>
    <w:rsid w:val="00247162"/>
    <w:rsid w:val="0024743D"/>
    <w:rsid w:val="00247BFE"/>
    <w:rsid w:val="00247FAF"/>
    <w:rsid w:val="00250358"/>
    <w:rsid w:val="00250362"/>
    <w:rsid w:val="00250FB2"/>
    <w:rsid w:val="00251013"/>
    <w:rsid w:val="0025143A"/>
    <w:rsid w:val="002521D7"/>
    <w:rsid w:val="002524DB"/>
    <w:rsid w:val="0025306E"/>
    <w:rsid w:val="00253719"/>
    <w:rsid w:val="00253867"/>
    <w:rsid w:val="002541BE"/>
    <w:rsid w:val="00255432"/>
    <w:rsid w:val="002555A7"/>
    <w:rsid w:val="002556BE"/>
    <w:rsid w:val="00256343"/>
    <w:rsid w:val="00256758"/>
    <w:rsid w:val="00256821"/>
    <w:rsid w:val="00256904"/>
    <w:rsid w:val="00256D26"/>
    <w:rsid w:val="0025777B"/>
    <w:rsid w:val="0025780C"/>
    <w:rsid w:val="00257910"/>
    <w:rsid w:val="00257B4F"/>
    <w:rsid w:val="00260A07"/>
    <w:rsid w:val="00260D40"/>
    <w:rsid w:val="002613D1"/>
    <w:rsid w:val="00261454"/>
    <w:rsid w:val="00261B96"/>
    <w:rsid w:val="00261C79"/>
    <w:rsid w:val="0026249E"/>
    <w:rsid w:val="002624E1"/>
    <w:rsid w:val="00262600"/>
    <w:rsid w:val="00263764"/>
    <w:rsid w:val="00263855"/>
    <w:rsid w:val="00263B7F"/>
    <w:rsid w:val="00263E5E"/>
    <w:rsid w:val="00264ABD"/>
    <w:rsid w:val="00265CDC"/>
    <w:rsid w:val="00265D38"/>
    <w:rsid w:val="00265F0F"/>
    <w:rsid w:val="00266847"/>
    <w:rsid w:val="002670B1"/>
    <w:rsid w:val="00267618"/>
    <w:rsid w:val="00267A52"/>
    <w:rsid w:val="002700E4"/>
    <w:rsid w:val="002716ED"/>
    <w:rsid w:val="0027237B"/>
    <w:rsid w:val="00272A07"/>
    <w:rsid w:val="0027552C"/>
    <w:rsid w:val="00275732"/>
    <w:rsid w:val="00275BC5"/>
    <w:rsid w:val="00275C1E"/>
    <w:rsid w:val="00275F5B"/>
    <w:rsid w:val="002761C0"/>
    <w:rsid w:val="0027695E"/>
    <w:rsid w:val="00276ACE"/>
    <w:rsid w:val="00277204"/>
    <w:rsid w:val="00277E4C"/>
    <w:rsid w:val="00280BF3"/>
    <w:rsid w:val="00280E90"/>
    <w:rsid w:val="002814C8"/>
    <w:rsid w:val="002818B1"/>
    <w:rsid w:val="00281BAA"/>
    <w:rsid w:val="00281CD6"/>
    <w:rsid w:val="00281F4E"/>
    <w:rsid w:val="0028221D"/>
    <w:rsid w:val="0028282A"/>
    <w:rsid w:val="00283200"/>
    <w:rsid w:val="002832F9"/>
    <w:rsid w:val="0028391E"/>
    <w:rsid w:val="00283EF8"/>
    <w:rsid w:val="00283FC2"/>
    <w:rsid w:val="002846E9"/>
    <w:rsid w:val="00285668"/>
    <w:rsid w:val="00285825"/>
    <w:rsid w:val="00285914"/>
    <w:rsid w:val="0028720B"/>
    <w:rsid w:val="002877A8"/>
    <w:rsid w:val="002877FE"/>
    <w:rsid w:val="0028795D"/>
    <w:rsid w:val="00287D23"/>
    <w:rsid w:val="0029010F"/>
    <w:rsid w:val="0029052E"/>
    <w:rsid w:val="00290707"/>
    <w:rsid w:val="00291D65"/>
    <w:rsid w:val="00292B88"/>
    <w:rsid w:val="00293024"/>
    <w:rsid w:val="00293175"/>
    <w:rsid w:val="002932C3"/>
    <w:rsid w:val="0029348C"/>
    <w:rsid w:val="0029386C"/>
    <w:rsid w:val="00293C85"/>
    <w:rsid w:val="00294224"/>
    <w:rsid w:val="002943F9"/>
    <w:rsid w:val="00294D61"/>
    <w:rsid w:val="00294FC3"/>
    <w:rsid w:val="002958ED"/>
    <w:rsid w:val="002958FC"/>
    <w:rsid w:val="00295FF7"/>
    <w:rsid w:val="00297ED6"/>
    <w:rsid w:val="002A0047"/>
    <w:rsid w:val="002A02E9"/>
    <w:rsid w:val="002A065C"/>
    <w:rsid w:val="002A072D"/>
    <w:rsid w:val="002A08A1"/>
    <w:rsid w:val="002A0CE6"/>
    <w:rsid w:val="002A1887"/>
    <w:rsid w:val="002A24C4"/>
    <w:rsid w:val="002A2E63"/>
    <w:rsid w:val="002A4517"/>
    <w:rsid w:val="002A47FE"/>
    <w:rsid w:val="002A4B52"/>
    <w:rsid w:val="002A50DF"/>
    <w:rsid w:val="002A52CD"/>
    <w:rsid w:val="002A56E2"/>
    <w:rsid w:val="002A67AD"/>
    <w:rsid w:val="002A68ED"/>
    <w:rsid w:val="002A6A28"/>
    <w:rsid w:val="002A6EF2"/>
    <w:rsid w:val="002A7779"/>
    <w:rsid w:val="002A781B"/>
    <w:rsid w:val="002A7B4D"/>
    <w:rsid w:val="002A7C93"/>
    <w:rsid w:val="002B1F43"/>
    <w:rsid w:val="002B2320"/>
    <w:rsid w:val="002B3142"/>
    <w:rsid w:val="002B32E6"/>
    <w:rsid w:val="002B3B7D"/>
    <w:rsid w:val="002B3C22"/>
    <w:rsid w:val="002B41B2"/>
    <w:rsid w:val="002B50D1"/>
    <w:rsid w:val="002B54D5"/>
    <w:rsid w:val="002B63CB"/>
    <w:rsid w:val="002B69AD"/>
    <w:rsid w:val="002B6A48"/>
    <w:rsid w:val="002B6C75"/>
    <w:rsid w:val="002B6F23"/>
    <w:rsid w:val="002C088B"/>
    <w:rsid w:val="002C0B12"/>
    <w:rsid w:val="002C0BC9"/>
    <w:rsid w:val="002C0BCD"/>
    <w:rsid w:val="002C0F3E"/>
    <w:rsid w:val="002C2272"/>
    <w:rsid w:val="002C24B6"/>
    <w:rsid w:val="002C29A9"/>
    <w:rsid w:val="002C30C7"/>
    <w:rsid w:val="002C468D"/>
    <w:rsid w:val="002C56B5"/>
    <w:rsid w:val="002C5A53"/>
    <w:rsid w:val="002C5CA5"/>
    <w:rsid w:val="002C65C7"/>
    <w:rsid w:val="002C661B"/>
    <w:rsid w:val="002C661E"/>
    <w:rsid w:val="002C6B10"/>
    <w:rsid w:val="002C7BE2"/>
    <w:rsid w:val="002D00D8"/>
    <w:rsid w:val="002D0BEA"/>
    <w:rsid w:val="002D12E1"/>
    <w:rsid w:val="002D1A21"/>
    <w:rsid w:val="002D1B1D"/>
    <w:rsid w:val="002D237B"/>
    <w:rsid w:val="002D2A83"/>
    <w:rsid w:val="002D2DEB"/>
    <w:rsid w:val="002D31BF"/>
    <w:rsid w:val="002D3778"/>
    <w:rsid w:val="002D3934"/>
    <w:rsid w:val="002D3D07"/>
    <w:rsid w:val="002D3E45"/>
    <w:rsid w:val="002D4322"/>
    <w:rsid w:val="002D4831"/>
    <w:rsid w:val="002D50C3"/>
    <w:rsid w:val="002D5883"/>
    <w:rsid w:val="002D59E2"/>
    <w:rsid w:val="002D5C03"/>
    <w:rsid w:val="002D5C25"/>
    <w:rsid w:val="002D5E43"/>
    <w:rsid w:val="002D64FE"/>
    <w:rsid w:val="002D701C"/>
    <w:rsid w:val="002D7C57"/>
    <w:rsid w:val="002E00BB"/>
    <w:rsid w:val="002E02E1"/>
    <w:rsid w:val="002E047A"/>
    <w:rsid w:val="002E06F9"/>
    <w:rsid w:val="002E093E"/>
    <w:rsid w:val="002E0FD1"/>
    <w:rsid w:val="002E13EC"/>
    <w:rsid w:val="002E171A"/>
    <w:rsid w:val="002E2618"/>
    <w:rsid w:val="002E2BB0"/>
    <w:rsid w:val="002E2FEF"/>
    <w:rsid w:val="002E308B"/>
    <w:rsid w:val="002E321C"/>
    <w:rsid w:val="002E3777"/>
    <w:rsid w:val="002E4A26"/>
    <w:rsid w:val="002E4C85"/>
    <w:rsid w:val="002E4CC8"/>
    <w:rsid w:val="002E50F1"/>
    <w:rsid w:val="002E5436"/>
    <w:rsid w:val="002E5635"/>
    <w:rsid w:val="002E5B6D"/>
    <w:rsid w:val="002E5B9C"/>
    <w:rsid w:val="002E5CF1"/>
    <w:rsid w:val="002E6389"/>
    <w:rsid w:val="002E6B35"/>
    <w:rsid w:val="002E6DB9"/>
    <w:rsid w:val="002E7074"/>
    <w:rsid w:val="002E70C4"/>
    <w:rsid w:val="002E7918"/>
    <w:rsid w:val="002E7CAD"/>
    <w:rsid w:val="002E7F70"/>
    <w:rsid w:val="002F03D3"/>
    <w:rsid w:val="002F1C2C"/>
    <w:rsid w:val="002F2487"/>
    <w:rsid w:val="002F4792"/>
    <w:rsid w:val="002F4811"/>
    <w:rsid w:val="002F494F"/>
    <w:rsid w:val="002F49F2"/>
    <w:rsid w:val="002F51C2"/>
    <w:rsid w:val="002F52EE"/>
    <w:rsid w:val="002F7228"/>
    <w:rsid w:val="002F7252"/>
    <w:rsid w:val="002F7EBD"/>
    <w:rsid w:val="00300004"/>
    <w:rsid w:val="00300680"/>
    <w:rsid w:val="003008C2"/>
    <w:rsid w:val="00300E12"/>
    <w:rsid w:val="00300EB9"/>
    <w:rsid w:val="0030111F"/>
    <w:rsid w:val="0030166C"/>
    <w:rsid w:val="003023E7"/>
    <w:rsid w:val="00302C5C"/>
    <w:rsid w:val="00302F67"/>
    <w:rsid w:val="00304605"/>
    <w:rsid w:val="00305166"/>
    <w:rsid w:val="003051D1"/>
    <w:rsid w:val="00305B7D"/>
    <w:rsid w:val="003065E1"/>
    <w:rsid w:val="00306EAA"/>
    <w:rsid w:val="00306F71"/>
    <w:rsid w:val="00307007"/>
    <w:rsid w:val="003072A3"/>
    <w:rsid w:val="003072E3"/>
    <w:rsid w:val="003074CA"/>
    <w:rsid w:val="003079E8"/>
    <w:rsid w:val="00307B94"/>
    <w:rsid w:val="00310F04"/>
    <w:rsid w:val="0031111D"/>
    <w:rsid w:val="00311723"/>
    <w:rsid w:val="00311AED"/>
    <w:rsid w:val="00312073"/>
    <w:rsid w:val="00312F60"/>
    <w:rsid w:val="0031304C"/>
    <w:rsid w:val="00313C81"/>
    <w:rsid w:val="00314131"/>
    <w:rsid w:val="00314995"/>
    <w:rsid w:val="003149A9"/>
    <w:rsid w:val="00315969"/>
    <w:rsid w:val="00315C17"/>
    <w:rsid w:val="00315ED7"/>
    <w:rsid w:val="0031641B"/>
    <w:rsid w:val="00316890"/>
    <w:rsid w:val="00316BD5"/>
    <w:rsid w:val="00316EF9"/>
    <w:rsid w:val="00316F9B"/>
    <w:rsid w:val="00317408"/>
    <w:rsid w:val="003177EE"/>
    <w:rsid w:val="00317B04"/>
    <w:rsid w:val="003202DB"/>
    <w:rsid w:val="003206B2"/>
    <w:rsid w:val="0032084D"/>
    <w:rsid w:val="00321F0E"/>
    <w:rsid w:val="00322093"/>
    <w:rsid w:val="00322940"/>
    <w:rsid w:val="003245D9"/>
    <w:rsid w:val="0032471C"/>
    <w:rsid w:val="00325569"/>
    <w:rsid w:val="00325862"/>
    <w:rsid w:val="00325E62"/>
    <w:rsid w:val="00325F71"/>
    <w:rsid w:val="003260AA"/>
    <w:rsid w:val="00326D53"/>
    <w:rsid w:val="003272CB"/>
    <w:rsid w:val="003277E5"/>
    <w:rsid w:val="00327E87"/>
    <w:rsid w:val="00327FAB"/>
    <w:rsid w:val="0033060E"/>
    <w:rsid w:val="00330745"/>
    <w:rsid w:val="00330762"/>
    <w:rsid w:val="00330C6E"/>
    <w:rsid w:val="00330F1D"/>
    <w:rsid w:val="0033105D"/>
    <w:rsid w:val="00331948"/>
    <w:rsid w:val="00331CAD"/>
    <w:rsid w:val="00331E8E"/>
    <w:rsid w:val="00331F1B"/>
    <w:rsid w:val="0033263E"/>
    <w:rsid w:val="00332858"/>
    <w:rsid w:val="0033314B"/>
    <w:rsid w:val="0033356B"/>
    <w:rsid w:val="00333776"/>
    <w:rsid w:val="00333FAA"/>
    <w:rsid w:val="00334689"/>
    <w:rsid w:val="00334CF1"/>
    <w:rsid w:val="00334D0D"/>
    <w:rsid w:val="00334DCE"/>
    <w:rsid w:val="00334F88"/>
    <w:rsid w:val="003352A5"/>
    <w:rsid w:val="00335591"/>
    <w:rsid w:val="003359D3"/>
    <w:rsid w:val="0033606F"/>
    <w:rsid w:val="00336213"/>
    <w:rsid w:val="00336319"/>
    <w:rsid w:val="00336F45"/>
    <w:rsid w:val="00336FE1"/>
    <w:rsid w:val="0033789E"/>
    <w:rsid w:val="0034039B"/>
    <w:rsid w:val="003404FA"/>
    <w:rsid w:val="00340B69"/>
    <w:rsid w:val="00340C34"/>
    <w:rsid w:val="00340DFD"/>
    <w:rsid w:val="0034171E"/>
    <w:rsid w:val="00341914"/>
    <w:rsid w:val="0034248E"/>
    <w:rsid w:val="00342940"/>
    <w:rsid w:val="00342A27"/>
    <w:rsid w:val="0034398C"/>
    <w:rsid w:val="00343EC0"/>
    <w:rsid w:val="003443FA"/>
    <w:rsid w:val="00344BBD"/>
    <w:rsid w:val="0034552E"/>
    <w:rsid w:val="00345BAA"/>
    <w:rsid w:val="00345D07"/>
    <w:rsid w:val="00345D75"/>
    <w:rsid w:val="003460A5"/>
    <w:rsid w:val="00346470"/>
    <w:rsid w:val="003464AC"/>
    <w:rsid w:val="003464F9"/>
    <w:rsid w:val="00346B5D"/>
    <w:rsid w:val="0034722E"/>
    <w:rsid w:val="00347527"/>
    <w:rsid w:val="003475B1"/>
    <w:rsid w:val="00347612"/>
    <w:rsid w:val="00350065"/>
    <w:rsid w:val="00350978"/>
    <w:rsid w:val="00351B19"/>
    <w:rsid w:val="00352067"/>
    <w:rsid w:val="003522DC"/>
    <w:rsid w:val="00352D1C"/>
    <w:rsid w:val="00352FF1"/>
    <w:rsid w:val="00353206"/>
    <w:rsid w:val="0035334A"/>
    <w:rsid w:val="00354194"/>
    <w:rsid w:val="003543B0"/>
    <w:rsid w:val="0035446B"/>
    <w:rsid w:val="00354920"/>
    <w:rsid w:val="00354A9F"/>
    <w:rsid w:val="00355031"/>
    <w:rsid w:val="00355412"/>
    <w:rsid w:val="00355BE8"/>
    <w:rsid w:val="00355EC8"/>
    <w:rsid w:val="00355F0C"/>
    <w:rsid w:val="003560B6"/>
    <w:rsid w:val="00360028"/>
    <w:rsid w:val="0036006A"/>
    <w:rsid w:val="00360162"/>
    <w:rsid w:val="00360B84"/>
    <w:rsid w:val="003612A5"/>
    <w:rsid w:val="00362026"/>
    <w:rsid w:val="003623CD"/>
    <w:rsid w:val="00363189"/>
    <w:rsid w:val="00363218"/>
    <w:rsid w:val="0036340D"/>
    <w:rsid w:val="003636B5"/>
    <w:rsid w:val="0036378F"/>
    <w:rsid w:val="0036576A"/>
    <w:rsid w:val="00365929"/>
    <w:rsid w:val="00366673"/>
    <w:rsid w:val="00366824"/>
    <w:rsid w:val="0036686F"/>
    <w:rsid w:val="00366C48"/>
    <w:rsid w:val="00366DDA"/>
    <w:rsid w:val="00367193"/>
    <w:rsid w:val="00367738"/>
    <w:rsid w:val="00367E95"/>
    <w:rsid w:val="0037028F"/>
    <w:rsid w:val="0037070E"/>
    <w:rsid w:val="0037088E"/>
    <w:rsid w:val="0037091E"/>
    <w:rsid w:val="00370ECB"/>
    <w:rsid w:val="003711B4"/>
    <w:rsid w:val="0037142F"/>
    <w:rsid w:val="00372386"/>
    <w:rsid w:val="0037245C"/>
    <w:rsid w:val="00373146"/>
    <w:rsid w:val="00373975"/>
    <w:rsid w:val="0037428B"/>
    <w:rsid w:val="003743EA"/>
    <w:rsid w:val="003746AC"/>
    <w:rsid w:val="00374CEC"/>
    <w:rsid w:val="00374EA4"/>
    <w:rsid w:val="003756C7"/>
    <w:rsid w:val="00375F2F"/>
    <w:rsid w:val="00376424"/>
    <w:rsid w:val="00376A77"/>
    <w:rsid w:val="00376AF7"/>
    <w:rsid w:val="00377BB7"/>
    <w:rsid w:val="00377F66"/>
    <w:rsid w:val="0038007D"/>
    <w:rsid w:val="00380238"/>
    <w:rsid w:val="00380566"/>
    <w:rsid w:val="00380675"/>
    <w:rsid w:val="00380725"/>
    <w:rsid w:val="00380902"/>
    <w:rsid w:val="00381212"/>
    <w:rsid w:val="00381B5D"/>
    <w:rsid w:val="00381D16"/>
    <w:rsid w:val="00381F38"/>
    <w:rsid w:val="0038237F"/>
    <w:rsid w:val="003824B1"/>
    <w:rsid w:val="003827F2"/>
    <w:rsid w:val="003828D8"/>
    <w:rsid w:val="003829EC"/>
    <w:rsid w:val="00382C4F"/>
    <w:rsid w:val="003834C3"/>
    <w:rsid w:val="00383CE5"/>
    <w:rsid w:val="00383FA5"/>
    <w:rsid w:val="00384395"/>
    <w:rsid w:val="0038541A"/>
    <w:rsid w:val="003856B2"/>
    <w:rsid w:val="00385805"/>
    <w:rsid w:val="00385E61"/>
    <w:rsid w:val="0038666D"/>
    <w:rsid w:val="00386B50"/>
    <w:rsid w:val="003871D4"/>
    <w:rsid w:val="00387C94"/>
    <w:rsid w:val="00390208"/>
    <w:rsid w:val="00391195"/>
    <w:rsid w:val="003912A3"/>
    <w:rsid w:val="003919B6"/>
    <w:rsid w:val="00391A8C"/>
    <w:rsid w:val="00391F08"/>
    <w:rsid w:val="003921EF"/>
    <w:rsid w:val="00392A04"/>
    <w:rsid w:val="00392A7F"/>
    <w:rsid w:val="00392CBB"/>
    <w:rsid w:val="00393BDC"/>
    <w:rsid w:val="003940B2"/>
    <w:rsid w:val="00394656"/>
    <w:rsid w:val="003946A0"/>
    <w:rsid w:val="00394CB0"/>
    <w:rsid w:val="003955C0"/>
    <w:rsid w:val="003959B4"/>
    <w:rsid w:val="00396943"/>
    <w:rsid w:val="00396E43"/>
    <w:rsid w:val="00397177"/>
    <w:rsid w:val="00397D91"/>
    <w:rsid w:val="003A04FE"/>
    <w:rsid w:val="003A15C5"/>
    <w:rsid w:val="003A17E6"/>
    <w:rsid w:val="003A1850"/>
    <w:rsid w:val="003A1A1A"/>
    <w:rsid w:val="003A1D4E"/>
    <w:rsid w:val="003A2EE7"/>
    <w:rsid w:val="003A3887"/>
    <w:rsid w:val="003A3B29"/>
    <w:rsid w:val="003A3D7C"/>
    <w:rsid w:val="003A412B"/>
    <w:rsid w:val="003A4BAE"/>
    <w:rsid w:val="003A5091"/>
    <w:rsid w:val="003A5E07"/>
    <w:rsid w:val="003A6440"/>
    <w:rsid w:val="003A682A"/>
    <w:rsid w:val="003A6882"/>
    <w:rsid w:val="003A6EBE"/>
    <w:rsid w:val="003A6F4B"/>
    <w:rsid w:val="003A7298"/>
    <w:rsid w:val="003A7930"/>
    <w:rsid w:val="003A7AF7"/>
    <w:rsid w:val="003A7E47"/>
    <w:rsid w:val="003A7F44"/>
    <w:rsid w:val="003B0F4D"/>
    <w:rsid w:val="003B141A"/>
    <w:rsid w:val="003B271E"/>
    <w:rsid w:val="003B2CDD"/>
    <w:rsid w:val="003B40E9"/>
    <w:rsid w:val="003B41E1"/>
    <w:rsid w:val="003B48B3"/>
    <w:rsid w:val="003B4A20"/>
    <w:rsid w:val="003B5A96"/>
    <w:rsid w:val="003B63C6"/>
    <w:rsid w:val="003B7210"/>
    <w:rsid w:val="003B7AA7"/>
    <w:rsid w:val="003B7C0D"/>
    <w:rsid w:val="003B7C5B"/>
    <w:rsid w:val="003B7DD8"/>
    <w:rsid w:val="003C18BE"/>
    <w:rsid w:val="003C1F1C"/>
    <w:rsid w:val="003C213A"/>
    <w:rsid w:val="003C2368"/>
    <w:rsid w:val="003C2426"/>
    <w:rsid w:val="003C26AF"/>
    <w:rsid w:val="003C2903"/>
    <w:rsid w:val="003C2916"/>
    <w:rsid w:val="003C3757"/>
    <w:rsid w:val="003C379F"/>
    <w:rsid w:val="003C3E08"/>
    <w:rsid w:val="003C3FEE"/>
    <w:rsid w:val="003C40B7"/>
    <w:rsid w:val="003C44D9"/>
    <w:rsid w:val="003C4578"/>
    <w:rsid w:val="003C474E"/>
    <w:rsid w:val="003C54EE"/>
    <w:rsid w:val="003C58C2"/>
    <w:rsid w:val="003C6346"/>
    <w:rsid w:val="003C6826"/>
    <w:rsid w:val="003C6DF0"/>
    <w:rsid w:val="003C7023"/>
    <w:rsid w:val="003C7302"/>
    <w:rsid w:val="003C73A6"/>
    <w:rsid w:val="003C74B1"/>
    <w:rsid w:val="003C7AC8"/>
    <w:rsid w:val="003D0B18"/>
    <w:rsid w:val="003D0FBC"/>
    <w:rsid w:val="003D17E2"/>
    <w:rsid w:val="003D1E00"/>
    <w:rsid w:val="003D2A68"/>
    <w:rsid w:val="003D30ED"/>
    <w:rsid w:val="003D3331"/>
    <w:rsid w:val="003D3351"/>
    <w:rsid w:val="003D3AEC"/>
    <w:rsid w:val="003D3DDB"/>
    <w:rsid w:val="003D40CD"/>
    <w:rsid w:val="003D4753"/>
    <w:rsid w:val="003D526A"/>
    <w:rsid w:val="003D56CE"/>
    <w:rsid w:val="003D588C"/>
    <w:rsid w:val="003D5DF7"/>
    <w:rsid w:val="003D6030"/>
    <w:rsid w:val="003D6092"/>
    <w:rsid w:val="003D69FE"/>
    <w:rsid w:val="003D6FF0"/>
    <w:rsid w:val="003D75B4"/>
    <w:rsid w:val="003D7C8D"/>
    <w:rsid w:val="003E0947"/>
    <w:rsid w:val="003E1ADC"/>
    <w:rsid w:val="003E206E"/>
    <w:rsid w:val="003E29CD"/>
    <w:rsid w:val="003E2D6C"/>
    <w:rsid w:val="003E300B"/>
    <w:rsid w:val="003E3784"/>
    <w:rsid w:val="003E3C17"/>
    <w:rsid w:val="003E5547"/>
    <w:rsid w:val="003E5648"/>
    <w:rsid w:val="003E6060"/>
    <w:rsid w:val="003E6221"/>
    <w:rsid w:val="003E63B7"/>
    <w:rsid w:val="003E7250"/>
    <w:rsid w:val="003E79E6"/>
    <w:rsid w:val="003F10FD"/>
    <w:rsid w:val="003F18B9"/>
    <w:rsid w:val="003F1F5B"/>
    <w:rsid w:val="003F23BB"/>
    <w:rsid w:val="003F2CB7"/>
    <w:rsid w:val="003F35D9"/>
    <w:rsid w:val="003F3A28"/>
    <w:rsid w:val="003F3B41"/>
    <w:rsid w:val="003F4166"/>
    <w:rsid w:val="003F4E42"/>
    <w:rsid w:val="003F53FA"/>
    <w:rsid w:val="003F5A82"/>
    <w:rsid w:val="003F69BE"/>
    <w:rsid w:val="003F7367"/>
    <w:rsid w:val="0040008C"/>
    <w:rsid w:val="004004FD"/>
    <w:rsid w:val="004006B7"/>
    <w:rsid w:val="004007C1"/>
    <w:rsid w:val="00400C77"/>
    <w:rsid w:val="0040106D"/>
    <w:rsid w:val="00401583"/>
    <w:rsid w:val="0040160B"/>
    <w:rsid w:val="004018B9"/>
    <w:rsid w:val="0040201E"/>
    <w:rsid w:val="004021C8"/>
    <w:rsid w:val="00403B46"/>
    <w:rsid w:val="004040D4"/>
    <w:rsid w:val="0040410A"/>
    <w:rsid w:val="0040427A"/>
    <w:rsid w:val="00404EC6"/>
    <w:rsid w:val="0040541C"/>
    <w:rsid w:val="00405D23"/>
    <w:rsid w:val="00406787"/>
    <w:rsid w:val="00406BF2"/>
    <w:rsid w:val="00406D3B"/>
    <w:rsid w:val="00406EDB"/>
    <w:rsid w:val="00407340"/>
    <w:rsid w:val="00407794"/>
    <w:rsid w:val="00407B6E"/>
    <w:rsid w:val="00410228"/>
    <w:rsid w:val="00410A97"/>
    <w:rsid w:val="00410EFB"/>
    <w:rsid w:val="00411E26"/>
    <w:rsid w:val="0041222F"/>
    <w:rsid w:val="00412828"/>
    <w:rsid w:val="00412A95"/>
    <w:rsid w:val="004138F3"/>
    <w:rsid w:val="00413B61"/>
    <w:rsid w:val="00413FAB"/>
    <w:rsid w:val="0041402E"/>
    <w:rsid w:val="0041454A"/>
    <w:rsid w:val="004155EF"/>
    <w:rsid w:val="00415A2D"/>
    <w:rsid w:val="00415A7C"/>
    <w:rsid w:val="004162F6"/>
    <w:rsid w:val="0041642B"/>
    <w:rsid w:val="00416F6C"/>
    <w:rsid w:val="00417168"/>
    <w:rsid w:val="0041770E"/>
    <w:rsid w:val="00417B8A"/>
    <w:rsid w:val="00417D5A"/>
    <w:rsid w:val="0042007C"/>
    <w:rsid w:val="004209FA"/>
    <w:rsid w:val="00420C8B"/>
    <w:rsid w:val="0042156D"/>
    <w:rsid w:val="00421692"/>
    <w:rsid w:val="00422114"/>
    <w:rsid w:val="0042277F"/>
    <w:rsid w:val="00422857"/>
    <w:rsid w:val="00422EC2"/>
    <w:rsid w:val="00423047"/>
    <w:rsid w:val="0042327A"/>
    <w:rsid w:val="00423352"/>
    <w:rsid w:val="00423D55"/>
    <w:rsid w:val="00423FDC"/>
    <w:rsid w:val="004246E3"/>
    <w:rsid w:val="00424D0C"/>
    <w:rsid w:val="0042574A"/>
    <w:rsid w:val="00427160"/>
    <w:rsid w:val="00427F52"/>
    <w:rsid w:val="00430029"/>
    <w:rsid w:val="004300CB"/>
    <w:rsid w:val="004306BA"/>
    <w:rsid w:val="0043186D"/>
    <w:rsid w:val="00431913"/>
    <w:rsid w:val="00431C32"/>
    <w:rsid w:val="00431C92"/>
    <w:rsid w:val="00432993"/>
    <w:rsid w:val="004330D8"/>
    <w:rsid w:val="00433A10"/>
    <w:rsid w:val="00433F87"/>
    <w:rsid w:val="004340BA"/>
    <w:rsid w:val="004340F8"/>
    <w:rsid w:val="0043434B"/>
    <w:rsid w:val="00435BDC"/>
    <w:rsid w:val="00436ED9"/>
    <w:rsid w:val="0043731B"/>
    <w:rsid w:val="00437386"/>
    <w:rsid w:val="004406C5"/>
    <w:rsid w:val="0044076C"/>
    <w:rsid w:val="004407CE"/>
    <w:rsid w:val="00440BED"/>
    <w:rsid w:val="00440EBE"/>
    <w:rsid w:val="00440F1C"/>
    <w:rsid w:val="00440FC3"/>
    <w:rsid w:val="00441606"/>
    <w:rsid w:val="004417E4"/>
    <w:rsid w:val="00441817"/>
    <w:rsid w:val="00441844"/>
    <w:rsid w:val="00442D35"/>
    <w:rsid w:val="00442E4F"/>
    <w:rsid w:val="0044349E"/>
    <w:rsid w:val="00443740"/>
    <w:rsid w:val="0044392B"/>
    <w:rsid w:val="00443C70"/>
    <w:rsid w:val="004443FA"/>
    <w:rsid w:val="00444653"/>
    <w:rsid w:val="00444A24"/>
    <w:rsid w:val="00445CBA"/>
    <w:rsid w:val="00445F15"/>
    <w:rsid w:val="00446363"/>
    <w:rsid w:val="00446DE3"/>
    <w:rsid w:val="0045106A"/>
    <w:rsid w:val="0045116C"/>
    <w:rsid w:val="00451323"/>
    <w:rsid w:val="0045149A"/>
    <w:rsid w:val="004515FB"/>
    <w:rsid w:val="00451A13"/>
    <w:rsid w:val="00451C18"/>
    <w:rsid w:val="00452C99"/>
    <w:rsid w:val="00453E7C"/>
    <w:rsid w:val="00453ED8"/>
    <w:rsid w:val="00453FED"/>
    <w:rsid w:val="0045402B"/>
    <w:rsid w:val="00454602"/>
    <w:rsid w:val="00454AF3"/>
    <w:rsid w:val="00455114"/>
    <w:rsid w:val="0045638F"/>
    <w:rsid w:val="004566C3"/>
    <w:rsid w:val="004567E8"/>
    <w:rsid w:val="004569B0"/>
    <w:rsid w:val="004575F7"/>
    <w:rsid w:val="00457902"/>
    <w:rsid w:val="0046015B"/>
    <w:rsid w:val="00460D78"/>
    <w:rsid w:val="004617F4"/>
    <w:rsid w:val="00461859"/>
    <w:rsid w:val="004618E2"/>
    <w:rsid w:val="00461B19"/>
    <w:rsid w:val="0046267C"/>
    <w:rsid w:val="00462B39"/>
    <w:rsid w:val="00462B48"/>
    <w:rsid w:val="0046350E"/>
    <w:rsid w:val="00464400"/>
    <w:rsid w:val="00464877"/>
    <w:rsid w:val="004656FE"/>
    <w:rsid w:val="004658EE"/>
    <w:rsid w:val="00465FE0"/>
    <w:rsid w:val="00466862"/>
    <w:rsid w:val="004670E6"/>
    <w:rsid w:val="00467270"/>
    <w:rsid w:val="00467453"/>
    <w:rsid w:val="00467F41"/>
    <w:rsid w:val="004713C8"/>
    <w:rsid w:val="00471A49"/>
    <w:rsid w:val="0047286C"/>
    <w:rsid w:val="00472EC0"/>
    <w:rsid w:val="00472EFE"/>
    <w:rsid w:val="0047325C"/>
    <w:rsid w:val="004738B9"/>
    <w:rsid w:val="00473EED"/>
    <w:rsid w:val="00473FEB"/>
    <w:rsid w:val="00475DC3"/>
    <w:rsid w:val="00475EAF"/>
    <w:rsid w:val="00476716"/>
    <w:rsid w:val="00476E4A"/>
    <w:rsid w:val="00477B38"/>
    <w:rsid w:val="00477B4F"/>
    <w:rsid w:val="00477B87"/>
    <w:rsid w:val="00480802"/>
    <w:rsid w:val="00480988"/>
    <w:rsid w:val="0048163E"/>
    <w:rsid w:val="00481768"/>
    <w:rsid w:val="00481872"/>
    <w:rsid w:val="00481FB5"/>
    <w:rsid w:val="004822CD"/>
    <w:rsid w:val="00482465"/>
    <w:rsid w:val="00482B47"/>
    <w:rsid w:val="00483257"/>
    <w:rsid w:val="00483357"/>
    <w:rsid w:val="00483AB8"/>
    <w:rsid w:val="00484078"/>
    <w:rsid w:val="00484104"/>
    <w:rsid w:val="00484895"/>
    <w:rsid w:val="004853DE"/>
    <w:rsid w:val="00485A20"/>
    <w:rsid w:val="00485C66"/>
    <w:rsid w:val="00485D24"/>
    <w:rsid w:val="00485EEB"/>
    <w:rsid w:val="0048634F"/>
    <w:rsid w:val="004866FF"/>
    <w:rsid w:val="00486987"/>
    <w:rsid w:val="00486A10"/>
    <w:rsid w:val="00486E43"/>
    <w:rsid w:val="00486FD4"/>
    <w:rsid w:val="00487E0F"/>
    <w:rsid w:val="004903AE"/>
    <w:rsid w:val="0049060A"/>
    <w:rsid w:val="00490954"/>
    <w:rsid w:val="00490EC2"/>
    <w:rsid w:val="00491252"/>
    <w:rsid w:val="00491678"/>
    <w:rsid w:val="0049173E"/>
    <w:rsid w:val="004920DF"/>
    <w:rsid w:val="0049271E"/>
    <w:rsid w:val="00492898"/>
    <w:rsid w:val="00492CA5"/>
    <w:rsid w:val="00492CD7"/>
    <w:rsid w:val="00492F2E"/>
    <w:rsid w:val="00493445"/>
    <w:rsid w:val="00494BD0"/>
    <w:rsid w:val="004956E5"/>
    <w:rsid w:val="00495DDA"/>
    <w:rsid w:val="00496659"/>
    <w:rsid w:val="004969C1"/>
    <w:rsid w:val="004969C4"/>
    <w:rsid w:val="00496CB4"/>
    <w:rsid w:val="00496D0D"/>
    <w:rsid w:val="00496DFB"/>
    <w:rsid w:val="004971AB"/>
    <w:rsid w:val="004A0249"/>
    <w:rsid w:val="004A0811"/>
    <w:rsid w:val="004A0892"/>
    <w:rsid w:val="004A0B9D"/>
    <w:rsid w:val="004A0EFF"/>
    <w:rsid w:val="004A101D"/>
    <w:rsid w:val="004A1700"/>
    <w:rsid w:val="004A1992"/>
    <w:rsid w:val="004A227A"/>
    <w:rsid w:val="004A27C1"/>
    <w:rsid w:val="004A3030"/>
    <w:rsid w:val="004A32B3"/>
    <w:rsid w:val="004A4489"/>
    <w:rsid w:val="004A4521"/>
    <w:rsid w:val="004A463E"/>
    <w:rsid w:val="004A4E7A"/>
    <w:rsid w:val="004A556A"/>
    <w:rsid w:val="004A6FAF"/>
    <w:rsid w:val="004B006B"/>
    <w:rsid w:val="004B0715"/>
    <w:rsid w:val="004B0E59"/>
    <w:rsid w:val="004B0FDD"/>
    <w:rsid w:val="004B1349"/>
    <w:rsid w:val="004B1B20"/>
    <w:rsid w:val="004B1BEA"/>
    <w:rsid w:val="004B1F3A"/>
    <w:rsid w:val="004B21DF"/>
    <w:rsid w:val="004B2553"/>
    <w:rsid w:val="004B2B31"/>
    <w:rsid w:val="004B2E38"/>
    <w:rsid w:val="004B31A5"/>
    <w:rsid w:val="004B3344"/>
    <w:rsid w:val="004B38D5"/>
    <w:rsid w:val="004B3AD4"/>
    <w:rsid w:val="004B4282"/>
    <w:rsid w:val="004B5C9C"/>
    <w:rsid w:val="004B6988"/>
    <w:rsid w:val="004B6D7C"/>
    <w:rsid w:val="004B712C"/>
    <w:rsid w:val="004C01E7"/>
    <w:rsid w:val="004C0537"/>
    <w:rsid w:val="004C0758"/>
    <w:rsid w:val="004C0787"/>
    <w:rsid w:val="004C089C"/>
    <w:rsid w:val="004C12FA"/>
    <w:rsid w:val="004C1CAC"/>
    <w:rsid w:val="004C2313"/>
    <w:rsid w:val="004C240F"/>
    <w:rsid w:val="004C2699"/>
    <w:rsid w:val="004C2A83"/>
    <w:rsid w:val="004C2AFD"/>
    <w:rsid w:val="004C3772"/>
    <w:rsid w:val="004C52DF"/>
    <w:rsid w:val="004C5482"/>
    <w:rsid w:val="004C58DA"/>
    <w:rsid w:val="004C6693"/>
    <w:rsid w:val="004C68D5"/>
    <w:rsid w:val="004C6B89"/>
    <w:rsid w:val="004C6DB2"/>
    <w:rsid w:val="004C7FFA"/>
    <w:rsid w:val="004D0647"/>
    <w:rsid w:val="004D0C4F"/>
    <w:rsid w:val="004D17A8"/>
    <w:rsid w:val="004D1EE4"/>
    <w:rsid w:val="004D20CC"/>
    <w:rsid w:val="004D2466"/>
    <w:rsid w:val="004D29BB"/>
    <w:rsid w:val="004D3064"/>
    <w:rsid w:val="004D4379"/>
    <w:rsid w:val="004D43BD"/>
    <w:rsid w:val="004D4AA7"/>
    <w:rsid w:val="004D4D8C"/>
    <w:rsid w:val="004D5325"/>
    <w:rsid w:val="004D59F5"/>
    <w:rsid w:val="004D6D0A"/>
    <w:rsid w:val="004D730D"/>
    <w:rsid w:val="004D7974"/>
    <w:rsid w:val="004D7991"/>
    <w:rsid w:val="004D7B40"/>
    <w:rsid w:val="004E02CC"/>
    <w:rsid w:val="004E0C93"/>
    <w:rsid w:val="004E0CF5"/>
    <w:rsid w:val="004E331C"/>
    <w:rsid w:val="004E3F94"/>
    <w:rsid w:val="004E44AF"/>
    <w:rsid w:val="004E482C"/>
    <w:rsid w:val="004E50B0"/>
    <w:rsid w:val="004E5393"/>
    <w:rsid w:val="004E5939"/>
    <w:rsid w:val="004E617F"/>
    <w:rsid w:val="004E6427"/>
    <w:rsid w:val="004E73AC"/>
    <w:rsid w:val="004E763A"/>
    <w:rsid w:val="004E7DBB"/>
    <w:rsid w:val="004F00DE"/>
    <w:rsid w:val="004F021A"/>
    <w:rsid w:val="004F0867"/>
    <w:rsid w:val="004F0F37"/>
    <w:rsid w:val="004F192E"/>
    <w:rsid w:val="004F1BA0"/>
    <w:rsid w:val="004F2256"/>
    <w:rsid w:val="004F2553"/>
    <w:rsid w:val="004F25C0"/>
    <w:rsid w:val="004F29B3"/>
    <w:rsid w:val="004F2BDD"/>
    <w:rsid w:val="004F32FF"/>
    <w:rsid w:val="004F337C"/>
    <w:rsid w:val="004F3573"/>
    <w:rsid w:val="004F3702"/>
    <w:rsid w:val="004F39A8"/>
    <w:rsid w:val="004F410B"/>
    <w:rsid w:val="004F4418"/>
    <w:rsid w:val="004F48D8"/>
    <w:rsid w:val="004F4DB3"/>
    <w:rsid w:val="004F537D"/>
    <w:rsid w:val="004F5539"/>
    <w:rsid w:val="004F56CD"/>
    <w:rsid w:val="004F578A"/>
    <w:rsid w:val="004F5F59"/>
    <w:rsid w:val="004F644E"/>
    <w:rsid w:val="004F647D"/>
    <w:rsid w:val="004F6937"/>
    <w:rsid w:val="004F6B8E"/>
    <w:rsid w:val="00501547"/>
    <w:rsid w:val="00502434"/>
    <w:rsid w:val="00502502"/>
    <w:rsid w:val="005033F6"/>
    <w:rsid w:val="00503DF1"/>
    <w:rsid w:val="005048DF"/>
    <w:rsid w:val="00504F87"/>
    <w:rsid w:val="00505D86"/>
    <w:rsid w:val="00505E6B"/>
    <w:rsid w:val="0050679E"/>
    <w:rsid w:val="005077F2"/>
    <w:rsid w:val="00507D58"/>
    <w:rsid w:val="005103E6"/>
    <w:rsid w:val="0051088E"/>
    <w:rsid w:val="0051190E"/>
    <w:rsid w:val="00512605"/>
    <w:rsid w:val="00512950"/>
    <w:rsid w:val="00512A71"/>
    <w:rsid w:val="005131F1"/>
    <w:rsid w:val="00513418"/>
    <w:rsid w:val="00514164"/>
    <w:rsid w:val="00514D22"/>
    <w:rsid w:val="00514FE5"/>
    <w:rsid w:val="00515710"/>
    <w:rsid w:val="00516000"/>
    <w:rsid w:val="00516D58"/>
    <w:rsid w:val="00516DFE"/>
    <w:rsid w:val="00517291"/>
    <w:rsid w:val="005172AC"/>
    <w:rsid w:val="00517518"/>
    <w:rsid w:val="005178C8"/>
    <w:rsid w:val="00517F6F"/>
    <w:rsid w:val="00520310"/>
    <w:rsid w:val="00520396"/>
    <w:rsid w:val="00520A1B"/>
    <w:rsid w:val="00520A23"/>
    <w:rsid w:val="00520E70"/>
    <w:rsid w:val="0052141F"/>
    <w:rsid w:val="0052220D"/>
    <w:rsid w:val="00522AD1"/>
    <w:rsid w:val="00522C7A"/>
    <w:rsid w:val="00523321"/>
    <w:rsid w:val="00523359"/>
    <w:rsid w:val="00523612"/>
    <w:rsid w:val="00523B07"/>
    <w:rsid w:val="0052432D"/>
    <w:rsid w:val="00524F1F"/>
    <w:rsid w:val="00525618"/>
    <w:rsid w:val="00525E77"/>
    <w:rsid w:val="00526006"/>
    <w:rsid w:val="00526547"/>
    <w:rsid w:val="00526860"/>
    <w:rsid w:val="00526961"/>
    <w:rsid w:val="00526C19"/>
    <w:rsid w:val="00526EB8"/>
    <w:rsid w:val="0052721C"/>
    <w:rsid w:val="005275DE"/>
    <w:rsid w:val="00527BEE"/>
    <w:rsid w:val="00527DDA"/>
    <w:rsid w:val="005303F7"/>
    <w:rsid w:val="00530647"/>
    <w:rsid w:val="00530B7D"/>
    <w:rsid w:val="0053194B"/>
    <w:rsid w:val="00531B1A"/>
    <w:rsid w:val="00531FEB"/>
    <w:rsid w:val="0053234D"/>
    <w:rsid w:val="00532B65"/>
    <w:rsid w:val="00532BBC"/>
    <w:rsid w:val="00532F89"/>
    <w:rsid w:val="005341E5"/>
    <w:rsid w:val="00534C80"/>
    <w:rsid w:val="00535653"/>
    <w:rsid w:val="005356D9"/>
    <w:rsid w:val="00535D21"/>
    <w:rsid w:val="00535F2B"/>
    <w:rsid w:val="0053615B"/>
    <w:rsid w:val="00536643"/>
    <w:rsid w:val="00536ADC"/>
    <w:rsid w:val="00536F98"/>
    <w:rsid w:val="00536FF1"/>
    <w:rsid w:val="00541736"/>
    <w:rsid w:val="005420D0"/>
    <w:rsid w:val="00542266"/>
    <w:rsid w:val="005427AF"/>
    <w:rsid w:val="00542C42"/>
    <w:rsid w:val="00542FE9"/>
    <w:rsid w:val="00543FD4"/>
    <w:rsid w:val="00545122"/>
    <w:rsid w:val="00545FB4"/>
    <w:rsid w:val="005469AC"/>
    <w:rsid w:val="0054728A"/>
    <w:rsid w:val="0054756F"/>
    <w:rsid w:val="005475C6"/>
    <w:rsid w:val="00547D66"/>
    <w:rsid w:val="005500BF"/>
    <w:rsid w:val="00550482"/>
    <w:rsid w:val="00550BF5"/>
    <w:rsid w:val="00550D79"/>
    <w:rsid w:val="0055210D"/>
    <w:rsid w:val="00553019"/>
    <w:rsid w:val="0055359A"/>
    <w:rsid w:val="00553811"/>
    <w:rsid w:val="005543F9"/>
    <w:rsid w:val="005552B6"/>
    <w:rsid w:val="005552DB"/>
    <w:rsid w:val="00555B58"/>
    <w:rsid w:val="00556497"/>
    <w:rsid w:val="00556AD1"/>
    <w:rsid w:val="00556C10"/>
    <w:rsid w:val="00557900"/>
    <w:rsid w:val="00557A7A"/>
    <w:rsid w:val="00560397"/>
    <w:rsid w:val="00560402"/>
    <w:rsid w:val="005607AC"/>
    <w:rsid w:val="00560B6C"/>
    <w:rsid w:val="00560BCC"/>
    <w:rsid w:val="00560DA0"/>
    <w:rsid w:val="00561196"/>
    <w:rsid w:val="00561781"/>
    <w:rsid w:val="00561B22"/>
    <w:rsid w:val="00561F57"/>
    <w:rsid w:val="005620F8"/>
    <w:rsid w:val="00562A45"/>
    <w:rsid w:val="00562D9F"/>
    <w:rsid w:val="005632D9"/>
    <w:rsid w:val="00563327"/>
    <w:rsid w:val="00563765"/>
    <w:rsid w:val="00563920"/>
    <w:rsid w:val="0056399C"/>
    <w:rsid w:val="00563D78"/>
    <w:rsid w:val="00563FF8"/>
    <w:rsid w:val="005648E2"/>
    <w:rsid w:val="00564999"/>
    <w:rsid w:val="00564D71"/>
    <w:rsid w:val="00564E0B"/>
    <w:rsid w:val="00564F2D"/>
    <w:rsid w:val="005652FA"/>
    <w:rsid w:val="00565ECD"/>
    <w:rsid w:val="00566534"/>
    <w:rsid w:val="00567F39"/>
    <w:rsid w:val="00570401"/>
    <w:rsid w:val="00570CEA"/>
    <w:rsid w:val="005712DA"/>
    <w:rsid w:val="005715C0"/>
    <w:rsid w:val="0057210B"/>
    <w:rsid w:val="0057242B"/>
    <w:rsid w:val="005733D3"/>
    <w:rsid w:val="00573B3B"/>
    <w:rsid w:val="00573CD5"/>
    <w:rsid w:val="00573F44"/>
    <w:rsid w:val="00574596"/>
    <w:rsid w:val="00574FCD"/>
    <w:rsid w:val="005750C2"/>
    <w:rsid w:val="005752F0"/>
    <w:rsid w:val="00575A69"/>
    <w:rsid w:val="005762AD"/>
    <w:rsid w:val="00576510"/>
    <w:rsid w:val="00576F4C"/>
    <w:rsid w:val="0057746B"/>
    <w:rsid w:val="00577938"/>
    <w:rsid w:val="00580026"/>
    <w:rsid w:val="00580238"/>
    <w:rsid w:val="005803A5"/>
    <w:rsid w:val="00580730"/>
    <w:rsid w:val="00580A45"/>
    <w:rsid w:val="00580CAC"/>
    <w:rsid w:val="00580FB5"/>
    <w:rsid w:val="00581460"/>
    <w:rsid w:val="005823EB"/>
    <w:rsid w:val="00582A19"/>
    <w:rsid w:val="005830DA"/>
    <w:rsid w:val="00583651"/>
    <w:rsid w:val="00583A1C"/>
    <w:rsid w:val="0058516B"/>
    <w:rsid w:val="00585584"/>
    <w:rsid w:val="005855C9"/>
    <w:rsid w:val="00587181"/>
    <w:rsid w:val="00587380"/>
    <w:rsid w:val="0058762E"/>
    <w:rsid w:val="005902C2"/>
    <w:rsid w:val="0059047F"/>
    <w:rsid w:val="005906AB"/>
    <w:rsid w:val="00591433"/>
    <w:rsid w:val="0059143D"/>
    <w:rsid w:val="00591626"/>
    <w:rsid w:val="00591FEF"/>
    <w:rsid w:val="005920B4"/>
    <w:rsid w:val="00592349"/>
    <w:rsid w:val="00592D6B"/>
    <w:rsid w:val="00592E67"/>
    <w:rsid w:val="005935F9"/>
    <w:rsid w:val="00593AD7"/>
    <w:rsid w:val="00593C5D"/>
    <w:rsid w:val="00593EB6"/>
    <w:rsid w:val="00593F28"/>
    <w:rsid w:val="0059433A"/>
    <w:rsid w:val="00594CA5"/>
    <w:rsid w:val="00595234"/>
    <w:rsid w:val="00595914"/>
    <w:rsid w:val="005968F3"/>
    <w:rsid w:val="00596F87"/>
    <w:rsid w:val="0059741A"/>
    <w:rsid w:val="0059760A"/>
    <w:rsid w:val="005977F4"/>
    <w:rsid w:val="0059782C"/>
    <w:rsid w:val="00597875"/>
    <w:rsid w:val="00597980"/>
    <w:rsid w:val="00597AE1"/>
    <w:rsid w:val="00597D0B"/>
    <w:rsid w:val="005A01E2"/>
    <w:rsid w:val="005A060C"/>
    <w:rsid w:val="005A09A3"/>
    <w:rsid w:val="005A17C0"/>
    <w:rsid w:val="005A23D9"/>
    <w:rsid w:val="005A38CE"/>
    <w:rsid w:val="005A3956"/>
    <w:rsid w:val="005A3C0C"/>
    <w:rsid w:val="005A4098"/>
    <w:rsid w:val="005A4149"/>
    <w:rsid w:val="005A448C"/>
    <w:rsid w:val="005A4862"/>
    <w:rsid w:val="005A4F0D"/>
    <w:rsid w:val="005A51B8"/>
    <w:rsid w:val="005A626F"/>
    <w:rsid w:val="005A63BF"/>
    <w:rsid w:val="005A6474"/>
    <w:rsid w:val="005A674C"/>
    <w:rsid w:val="005A7421"/>
    <w:rsid w:val="005A75CA"/>
    <w:rsid w:val="005A75CB"/>
    <w:rsid w:val="005A79D9"/>
    <w:rsid w:val="005A7DC6"/>
    <w:rsid w:val="005B15A4"/>
    <w:rsid w:val="005B1859"/>
    <w:rsid w:val="005B1927"/>
    <w:rsid w:val="005B25FD"/>
    <w:rsid w:val="005B2BCC"/>
    <w:rsid w:val="005B2EB6"/>
    <w:rsid w:val="005B2FDB"/>
    <w:rsid w:val="005B3713"/>
    <w:rsid w:val="005B37F1"/>
    <w:rsid w:val="005B396A"/>
    <w:rsid w:val="005B3B43"/>
    <w:rsid w:val="005B3C2E"/>
    <w:rsid w:val="005B3E2D"/>
    <w:rsid w:val="005B4465"/>
    <w:rsid w:val="005B508F"/>
    <w:rsid w:val="005B5230"/>
    <w:rsid w:val="005B553C"/>
    <w:rsid w:val="005B605D"/>
    <w:rsid w:val="005B60FA"/>
    <w:rsid w:val="005B61FF"/>
    <w:rsid w:val="005B68F0"/>
    <w:rsid w:val="005B71DE"/>
    <w:rsid w:val="005B744D"/>
    <w:rsid w:val="005B7645"/>
    <w:rsid w:val="005B79CC"/>
    <w:rsid w:val="005B7E30"/>
    <w:rsid w:val="005C037F"/>
    <w:rsid w:val="005C06C2"/>
    <w:rsid w:val="005C0819"/>
    <w:rsid w:val="005C1299"/>
    <w:rsid w:val="005C138C"/>
    <w:rsid w:val="005C1574"/>
    <w:rsid w:val="005C17AE"/>
    <w:rsid w:val="005C259C"/>
    <w:rsid w:val="005C27FE"/>
    <w:rsid w:val="005C2C71"/>
    <w:rsid w:val="005C2D6D"/>
    <w:rsid w:val="005C3265"/>
    <w:rsid w:val="005C363E"/>
    <w:rsid w:val="005C391A"/>
    <w:rsid w:val="005C3D3C"/>
    <w:rsid w:val="005C3D84"/>
    <w:rsid w:val="005C3F56"/>
    <w:rsid w:val="005C4360"/>
    <w:rsid w:val="005C51B3"/>
    <w:rsid w:val="005C5302"/>
    <w:rsid w:val="005C54CE"/>
    <w:rsid w:val="005C5FF7"/>
    <w:rsid w:val="005C6266"/>
    <w:rsid w:val="005C657E"/>
    <w:rsid w:val="005C6DFF"/>
    <w:rsid w:val="005C7C03"/>
    <w:rsid w:val="005D0AF3"/>
    <w:rsid w:val="005D23B8"/>
    <w:rsid w:val="005D2D81"/>
    <w:rsid w:val="005D3200"/>
    <w:rsid w:val="005D3525"/>
    <w:rsid w:val="005D3A03"/>
    <w:rsid w:val="005D43F8"/>
    <w:rsid w:val="005D44C7"/>
    <w:rsid w:val="005D47FA"/>
    <w:rsid w:val="005D4A17"/>
    <w:rsid w:val="005D5416"/>
    <w:rsid w:val="005D5D62"/>
    <w:rsid w:val="005D5D9B"/>
    <w:rsid w:val="005D5E88"/>
    <w:rsid w:val="005D6600"/>
    <w:rsid w:val="005D69A6"/>
    <w:rsid w:val="005D6BFE"/>
    <w:rsid w:val="005D7038"/>
    <w:rsid w:val="005D7B96"/>
    <w:rsid w:val="005E025B"/>
    <w:rsid w:val="005E03D1"/>
    <w:rsid w:val="005E0BC4"/>
    <w:rsid w:val="005E0EEA"/>
    <w:rsid w:val="005E165D"/>
    <w:rsid w:val="005E173D"/>
    <w:rsid w:val="005E1840"/>
    <w:rsid w:val="005E2663"/>
    <w:rsid w:val="005E2C9B"/>
    <w:rsid w:val="005E36B7"/>
    <w:rsid w:val="005E37F0"/>
    <w:rsid w:val="005E3E21"/>
    <w:rsid w:val="005E463C"/>
    <w:rsid w:val="005E4C1A"/>
    <w:rsid w:val="005E5943"/>
    <w:rsid w:val="005E59FB"/>
    <w:rsid w:val="005E5C13"/>
    <w:rsid w:val="005E5EB8"/>
    <w:rsid w:val="005E6116"/>
    <w:rsid w:val="005E62E3"/>
    <w:rsid w:val="005E733E"/>
    <w:rsid w:val="005E7615"/>
    <w:rsid w:val="005F031A"/>
    <w:rsid w:val="005F05CF"/>
    <w:rsid w:val="005F08EE"/>
    <w:rsid w:val="005F095A"/>
    <w:rsid w:val="005F0BAC"/>
    <w:rsid w:val="005F0EF7"/>
    <w:rsid w:val="005F1199"/>
    <w:rsid w:val="005F19EB"/>
    <w:rsid w:val="005F1B47"/>
    <w:rsid w:val="005F1E91"/>
    <w:rsid w:val="005F279E"/>
    <w:rsid w:val="005F2A6E"/>
    <w:rsid w:val="005F34CF"/>
    <w:rsid w:val="005F3625"/>
    <w:rsid w:val="005F3952"/>
    <w:rsid w:val="005F45EA"/>
    <w:rsid w:val="005F4B21"/>
    <w:rsid w:val="005F5393"/>
    <w:rsid w:val="005F647E"/>
    <w:rsid w:val="005F6D62"/>
    <w:rsid w:val="005F6F07"/>
    <w:rsid w:val="005F7228"/>
    <w:rsid w:val="005F7954"/>
    <w:rsid w:val="00600104"/>
    <w:rsid w:val="00600BC6"/>
    <w:rsid w:val="00600BF8"/>
    <w:rsid w:val="00601629"/>
    <w:rsid w:val="00601E35"/>
    <w:rsid w:val="006033FC"/>
    <w:rsid w:val="00603E46"/>
    <w:rsid w:val="00603ECF"/>
    <w:rsid w:val="0060432D"/>
    <w:rsid w:val="00605172"/>
    <w:rsid w:val="0060541F"/>
    <w:rsid w:val="0060588F"/>
    <w:rsid w:val="00605FE9"/>
    <w:rsid w:val="0060645C"/>
    <w:rsid w:val="006065FC"/>
    <w:rsid w:val="006068E9"/>
    <w:rsid w:val="00606E4B"/>
    <w:rsid w:val="00606F4F"/>
    <w:rsid w:val="006071ED"/>
    <w:rsid w:val="006073FE"/>
    <w:rsid w:val="00610418"/>
    <w:rsid w:val="00610DEA"/>
    <w:rsid w:val="00611898"/>
    <w:rsid w:val="00611934"/>
    <w:rsid w:val="00611B41"/>
    <w:rsid w:val="006125D2"/>
    <w:rsid w:val="006127DB"/>
    <w:rsid w:val="0061345E"/>
    <w:rsid w:val="006137A9"/>
    <w:rsid w:val="00613B77"/>
    <w:rsid w:val="00613C5F"/>
    <w:rsid w:val="00613DCF"/>
    <w:rsid w:val="00613F93"/>
    <w:rsid w:val="0061435D"/>
    <w:rsid w:val="006149AB"/>
    <w:rsid w:val="00614CA2"/>
    <w:rsid w:val="00615BD8"/>
    <w:rsid w:val="006160D5"/>
    <w:rsid w:val="0061619F"/>
    <w:rsid w:val="00616B09"/>
    <w:rsid w:val="00616FF3"/>
    <w:rsid w:val="006173C8"/>
    <w:rsid w:val="00617640"/>
    <w:rsid w:val="006176A6"/>
    <w:rsid w:val="00617A00"/>
    <w:rsid w:val="00617C0B"/>
    <w:rsid w:val="006204DC"/>
    <w:rsid w:val="00620964"/>
    <w:rsid w:val="00620C55"/>
    <w:rsid w:val="0062102A"/>
    <w:rsid w:val="00621495"/>
    <w:rsid w:val="00621823"/>
    <w:rsid w:val="00622A1E"/>
    <w:rsid w:val="0062334A"/>
    <w:rsid w:val="0062341B"/>
    <w:rsid w:val="00624367"/>
    <w:rsid w:val="0062466A"/>
    <w:rsid w:val="00624A8A"/>
    <w:rsid w:val="00624EE7"/>
    <w:rsid w:val="00624F50"/>
    <w:rsid w:val="0062551C"/>
    <w:rsid w:val="00625C7C"/>
    <w:rsid w:val="00625D46"/>
    <w:rsid w:val="0062631B"/>
    <w:rsid w:val="006266FF"/>
    <w:rsid w:val="00626BBF"/>
    <w:rsid w:val="00626BD1"/>
    <w:rsid w:val="00626FC1"/>
    <w:rsid w:val="006279DF"/>
    <w:rsid w:val="00630B9D"/>
    <w:rsid w:val="00630C47"/>
    <w:rsid w:val="00630C67"/>
    <w:rsid w:val="00631124"/>
    <w:rsid w:val="006315C1"/>
    <w:rsid w:val="006318E8"/>
    <w:rsid w:val="006333C0"/>
    <w:rsid w:val="006336A4"/>
    <w:rsid w:val="00633708"/>
    <w:rsid w:val="00633F82"/>
    <w:rsid w:val="006348B6"/>
    <w:rsid w:val="00634AF0"/>
    <w:rsid w:val="00634F74"/>
    <w:rsid w:val="00635A24"/>
    <w:rsid w:val="00635A89"/>
    <w:rsid w:val="00636330"/>
    <w:rsid w:val="0063687C"/>
    <w:rsid w:val="00637057"/>
    <w:rsid w:val="00637485"/>
    <w:rsid w:val="00637F58"/>
    <w:rsid w:val="0064019E"/>
    <w:rsid w:val="00640517"/>
    <w:rsid w:val="00640B08"/>
    <w:rsid w:val="00640EA2"/>
    <w:rsid w:val="00640FB3"/>
    <w:rsid w:val="00640FC0"/>
    <w:rsid w:val="0064109B"/>
    <w:rsid w:val="00641235"/>
    <w:rsid w:val="0064179B"/>
    <w:rsid w:val="00641D7A"/>
    <w:rsid w:val="0064223E"/>
    <w:rsid w:val="0064262C"/>
    <w:rsid w:val="0064296D"/>
    <w:rsid w:val="0064298E"/>
    <w:rsid w:val="00642ED4"/>
    <w:rsid w:val="00643702"/>
    <w:rsid w:val="00644697"/>
    <w:rsid w:val="00644762"/>
    <w:rsid w:val="0064481F"/>
    <w:rsid w:val="00644C46"/>
    <w:rsid w:val="00644FFF"/>
    <w:rsid w:val="00645683"/>
    <w:rsid w:val="00646CCF"/>
    <w:rsid w:val="00646FAC"/>
    <w:rsid w:val="006479A4"/>
    <w:rsid w:val="00647BFE"/>
    <w:rsid w:val="00647F40"/>
    <w:rsid w:val="00650352"/>
    <w:rsid w:val="006504EC"/>
    <w:rsid w:val="0065139E"/>
    <w:rsid w:val="0065196D"/>
    <w:rsid w:val="00652848"/>
    <w:rsid w:val="0065368E"/>
    <w:rsid w:val="00653D96"/>
    <w:rsid w:val="00653FD5"/>
    <w:rsid w:val="00654130"/>
    <w:rsid w:val="00654440"/>
    <w:rsid w:val="00654521"/>
    <w:rsid w:val="006548DF"/>
    <w:rsid w:val="00654DE9"/>
    <w:rsid w:val="006551BD"/>
    <w:rsid w:val="00655624"/>
    <w:rsid w:val="00655E42"/>
    <w:rsid w:val="0065668B"/>
    <w:rsid w:val="00656C7B"/>
    <w:rsid w:val="00656CCF"/>
    <w:rsid w:val="006574C5"/>
    <w:rsid w:val="00657ABC"/>
    <w:rsid w:val="00657EC4"/>
    <w:rsid w:val="00660090"/>
    <w:rsid w:val="006612D3"/>
    <w:rsid w:val="0066132E"/>
    <w:rsid w:val="006620F9"/>
    <w:rsid w:val="00662333"/>
    <w:rsid w:val="0066233E"/>
    <w:rsid w:val="00662536"/>
    <w:rsid w:val="00662630"/>
    <w:rsid w:val="00662D9B"/>
    <w:rsid w:val="00662F29"/>
    <w:rsid w:val="006638C4"/>
    <w:rsid w:val="00665612"/>
    <w:rsid w:val="00665826"/>
    <w:rsid w:val="006661A9"/>
    <w:rsid w:val="006661B0"/>
    <w:rsid w:val="00666E8B"/>
    <w:rsid w:val="006674AA"/>
    <w:rsid w:val="0066763F"/>
    <w:rsid w:val="00667AC4"/>
    <w:rsid w:val="00667E9E"/>
    <w:rsid w:val="006708B1"/>
    <w:rsid w:val="006708BE"/>
    <w:rsid w:val="00670D09"/>
    <w:rsid w:val="0067180C"/>
    <w:rsid w:val="006719FE"/>
    <w:rsid w:val="0067213C"/>
    <w:rsid w:val="00672552"/>
    <w:rsid w:val="00672647"/>
    <w:rsid w:val="00672C8C"/>
    <w:rsid w:val="00672DB1"/>
    <w:rsid w:val="0067485B"/>
    <w:rsid w:val="006748BF"/>
    <w:rsid w:val="00674B14"/>
    <w:rsid w:val="00674FE0"/>
    <w:rsid w:val="006753A6"/>
    <w:rsid w:val="0067551D"/>
    <w:rsid w:val="0067570F"/>
    <w:rsid w:val="0067609D"/>
    <w:rsid w:val="0067706F"/>
    <w:rsid w:val="0068029E"/>
    <w:rsid w:val="00680DDB"/>
    <w:rsid w:val="0068305C"/>
    <w:rsid w:val="00683313"/>
    <w:rsid w:val="006836BD"/>
    <w:rsid w:val="006840D3"/>
    <w:rsid w:val="006846C3"/>
    <w:rsid w:val="00684E3F"/>
    <w:rsid w:val="006852B8"/>
    <w:rsid w:val="0068547C"/>
    <w:rsid w:val="00685857"/>
    <w:rsid w:val="00685929"/>
    <w:rsid w:val="00686574"/>
    <w:rsid w:val="006869DA"/>
    <w:rsid w:val="00686A87"/>
    <w:rsid w:val="00686BB7"/>
    <w:rsid w:val="00687096"/>
    <w:rsid w:val="006876BB"/>
    <w:rsid w:val="00687911"/>
    <w:rsid w:val="0069004F"/>
    <w:rsid w:val="00690758"/>
    <w:rsid w:val="00690BD8"/>
    <w:rsid w:val="00691C3A"/>
    <w:rsid w:val="00691C5A"/>
    <w:rsid w:val="0069202C"/>
    <w:rsid w:val="006920F8"/>
    <w:rsid w:val="006922AD"/>
    <w:rsid w:val="006925F3"/>
    <w:rsid w:val="0069307F"/>
    <w:rsid w:val="00693689"/>
    <w:rsid w:val="006949EF"/>
    <w:rsid w:val="00694B4F"/>
    <w:rsid w:val="0069527A"/>
    <w:rsid w:val="006954A1"/>
    <w:rsid w:val="00695566"/>
    <w:rsid w:val="00695D5A"/>
    <w:rsid w:val="00695E37"/>
    <w:rsid w:val="0069650C"/>
    <w:rsid w:val="00696588"/>
    <w:rsid w:val="0069739B"/>
    <w:rsid w:val="00697B2F"/>
    <w:rsid w:val="006A0200"/>
    <w:rsid w:val="006A0407"/>
    <w:rsid w:val="006A1B86"/>
    <w:rsid w:val="006A1BBF"/>
    <w:rsid w:val="006A2276"/>
    <w:rsid w:val="006A2651"/>
    <w:rsid w:val="006A3145"/>
    <w:rsid w:val="006A32BD"/>
    <w:rsid w:val="006A40E1"/>
    <w:rsid w:val="006A4246"/>
    <w:rsid w:val="006A44A4"/>
    <w:rsid w:val="006A4864"/>
    <w:rsid w:val="006A48F7"/>
    <w:rsid w:val="006A4A9B"/>
    <w:rsid w:val="006A5427"/>
    <w:rsid w:val="006A543E"/>
    <w:rsid w:val="006A5588"/>
    <w:rsid w:val="006A5BC4"/>
    <w:rsid w:val="006A5C49"/>
    <w:rsid w:val="006A5DD4"/>
    <w:rsid w:val="006A5FCF"/>
    <w:rsid w:val="006A60B5"/>
    <w:rsid w:val="006A781C"/>
    <w:rsid w:val="006A792D"/>
    <w:rsid w:val="006B02AB"/>
    <w:rsid w:val="006B0D6E"/>
    <w:rsid w:val="006B14F0"/>
    <w:rsid w:val="006B1DA6"/>
    <w:rsid w:val="006B24C0"/>
    <w:rsid w:val="006B2E72"/>
    <w:rsid w:val="006B2FFD"/>
    <w:rsid w:val="006B3AC9"/>
    <w:rsid w:val="006B42C0"/>
    <w:rsid w:val="006B451A"/>
    <w:rsid w:val="006B4E95"/>
    <w:rsid w:val="006B537B"/>
    <w:rsid w:val="006B5487"/>
    <w:rsid w:val="006B664D"/>
    <w:rsid w:val="006B67AB"/>
    <w:rsid w:val="006B694F"/>
    <w:rsid w:val="006B6D0D"/>
    <w:rsid w:val="006B6F6E"/>
    <w:rsid w:val="006B756B"/>
    <w:rsid w:val="006B78B9"/>
    <w:rsid w:val="006B78BD"/>
    <w:rsid w:val="006C0813"/>
    <w:rsid w:val="006C08DC"/>
    <w:rsid w:val="006C0A73"/>
    <w:rsid w:val="006C13F4"/>
    <w:rsid w:val="006C15DA"/>
    <w:rsid w:val="006C1EC4"/>
    <w:rsid w:val="006C2C47"/>
    <w:rsid w:val="006C2D5A"/>
    <w:rsid w:val="006C304E"/>
    <w:rsid w:val="006C3720"/>
    <w:rsid w:val="006C388D"/>
    <w:rsid w:val="006C5276"/>
    <w:rsid w:val="006C5806"/>
    <w:rsid w:val="006C5C2F"/>
    <w:rsid w:val="006C5C92"/>
    <w:rsid w:val="006C5ECB"/>
    <w:rsid w:val="006C646B"/>
    <w:rsid w:val="006C68F4"/>
    <w:rsid w:val="006C6ABD"/>
    <w:rsid w:val="006C6BFC"/>
    <w:rsid w:val="006C78E9"/>
    <w:rsid w:val="006D01A9"/>
    <w:rsid w:val="006D0EFB"/>
    <w:rsid w:val="006D1370"/>
    <w:rsid w:val="006D18B3"/>
    <w:rsid w:val="006D2B4E"/>
    <w:rsid w:val="006D3099"/>
    <w:rsid w:val="006D31BD"/>
    <w:rsid w:val="006D4495"/>
    <w:rsid w:val="006D553F"/>
    <w:rsid w:val="006D6017"/>
    <w:rsid w:val="006D6DC0"/>
    <w:rsid w:val="006D74C1"/>
    <w:rsid w:val="006D7DB4"/>
    <w:rsid w:val="006E0A91"/>
    <w:rsid w:val="006E0FD3"/>
    <w:rsid w:val="006E28B1"/>
    <w:rsid w:val="006E2ADB"/>
    <w:rsid w:val="006E2C4C"/>
    <w:rsid w:val="006E4277"/>
    <w:rsid w:val="006E4CCB"/>
    <w:rsid w:val="006E4D89"/>
    <w:rsid w:val="006E5DA1"/>
    <w:rsid w:val="006E654E"/>
    <w:rsid w:val="006E71EE"/>
    <w:rsid w:val="006E7294"/>
    <w:rsid w:val="006E7A12"/>
    <w:rsid w:val="006E7B96"/>
    <w:rsid w:val="006E7C64"/>
    <w:rsid w:val="006F0050"/>
    <w:rsid w:val="006F05E3"/>
    <w:rsid w:val="006F071F"/>
    <w:rsid w:val="006F125B"/>
    <w:rsid w:val="006F1332"/>
    <w:rsid w:val="006F208C"/>
    <w:rsid w:val="006F2400"/>
    <w:rsid w:val="006F2CF4"/>
    <w:rsid w:val="006F2E21"/>
    <w:rsid w:val="006F2F7E"/>
    <w:rsid w:val="006F3368"/>
    <w:rsid w:val="006F35FD"/>
    <w:rsid w:val="006F3AE7"/>
    <w:rsid w:val="006F3BD0"/>
    <w:rsid w:val="006F49CB"/>
    <w:rsid w:val="006F4C92"/>
    <w:rsid w:val="006F4FC5"/>
    <w:rsid w:val="006F51BF"/>
    <w:rsid w:val="006F53F9"/>
    <w:rsid w:val="006F657E"/>
    <w:rsid w:val="006F6702"/>
    <w:rsid w:val="006F69CD"/>
    <w:rsid w:val="006F6F3D"/>
    <w:rsid w:val="006F761E"/>
    <w:rsid w:val="006F76B1"/>
    <w:rsid w:val="006F775E"/>
    <w:rsid w:val="007003AA"/>
    <w:rsid w:val="007012AE"/>
    <w:rsid w:val="0070132E"/>
    <w:rsid w:val="00701F0C"/>
    <w:rsid w:val="0070205C"/>
    <w:rsid w:val="00702757"/>
    <w:rsid w:val="00702FEF"/>
    <w:rsid w:val="00703D9C"/>
    <w:rsid w:val="00703E70"/>
    <w:rsid w:val="00704167"/>
    <w:rsid w:val="00704B22"/>
    <w:rsid w:val="00705DD0"/>
    <w:rsid w:val="0070636E"/>
    <w:rsid w:val="00706BB6"/>
    <w:rsid w:val="00706E2C"/>
    <w:rsid w:val="007071C8"/>
    <w:rsid w:val="00707BDF"/>
    <w:rsid w:val="00707D5B"/>
    <w:rsid w:val="00710239"/>
    <w:rsid w:val="0071050B"/>
    <w:rsid w:val="00711036"/>
    <w:rsid w:val="007111D1"/>
    <w:rsid w:val="00711D49"/>
    <w:rsid w:val="00711DDE"/>
    <w:rsid w:val="00711ECD"/>
    <w:rsid w:val="00712768"/>
    <w:rsid w:val="007135D8"/>
    <w:rsid w:val="0071419B"/>
    <w:rsid w:val="0071433C"/>
    <w:rsid w:val="0071534A"/>
    <w:rsid w:val="007156B7"/>
    <w:rsid w:val="0071593B"/>
    <w:rsid w:val="007165DB"/>
    <w:rsid w:val="00716965"/>
    <w:rsid w:val="0071742D"/>
    <w:rsid w:val="007201C6"/>
    <w:rsid w:val="00720734"/>
    <w:rsid w:val="00720B2B"/>
    <w:rsid w:val="00720F1A"/>
    <w:rsid w:val="0072148C"/>
    <w:rsid w:val="00721A66"/>
    <w:rsid w:val="007220C2"/>
    <w:rsid w:val="00722444"/>
    <w:rsid w:val="00722AB4"/>
    <w:rsid w:val="00722B9B"/>
    <w:rsid w:val="00722DC3"/>
    <w:rsid w:val="0072350A"/>
    <w:rsid w:val="007238D8"/>
    <w:rsid w:val="00723D26"/>
    <w:rsid w:val="00724124"/>
    <w:rsid w:val="007241EE"/>
    <w:rsid w:val="00724739"/>
    <w:rsid w:val="007248BE"/>
    <w:rsid w:val="0072492C"/>
    <w:rsid w:val="00724A5A"/>
    <w:rsid w:val="00724C59"/>
    <w:rsid w:val="0072550E"/>
    <w:rsid w:val="00725941"/>
    <w:rsid w:val="00725A76"/>
    <w:rsid w:val="0072640E"/>
    <w:rsid w:val="00726598"/>
    <w:rsid w:val="007265DE"/>
    <w:rsid w:val="0072676F"/>
    <w:rsid w:val="007269F0"/>
    <w:rsid w:val="00726C87"/>
    <w:rsid w:val="0072762C"/>
    <w:rsid w:val="00727B88"/>
    <w:rsid w:val="00727D01"/>
    <w:rsid w:val="0073053C"/>
    <w:rsid w:val="0073058A"/>
    <w:rsid w:val="007307D6"/>
    <w:rsid w:val="00730C47"/>
    <w:rsid w:val="00731A11"/>
    <w:rsid w:val="0073279C"/>
    <w:rsid w:val="00732A05"/>
    <w:rsid w:val="00732B77"/>
    <w:rsid w:val="0073329E"/>
    <w:rsid w:val="0073374F"/>
    <w:rsid w:val="00733DE2"/>
    <w:rsid w:val="007340AB"/>
    <w:rsid w:val="007345D4"/>
    <w:rsid w:val="007355E8"/>
    <w:rsid w:val="00735ADA"/>
    <w:rsid w:val="007363BB"/>
    <w:rsid w:val="00736BF1"/>
    <w:rsid w:val="00737015"/>
    <w:rsid w:val="0073756B"/>
    <w:rsid w:val="00740917"/>
    <w:rsid w:val="00740D06"/>
    <w:rsid w:val="00740D6A"/>
    <w:rsid w:val="00740DE5"/>
    <w:rsid w:val="00740EEE"/>
    <w:rsid w:val="00741542"/>
    <w:rsid w:val="0074184D"/>
    <w:rsid w:val="00742962"/>
    <w:rsid w:val="00742B28"/>
    <w:rsid w:val="00742D69"/>
    <w:rsid w:val="00742ED5"/>
    <w:rsid w:val="0074304C"/>
    <w:rsid w:val="007438DC"/>
    <w:rsid w:val="00743987"/>
    <w:rsid w:val="007459F0"/>
    <w:rsid w:val="00746108"/>
    <w:rsid w:val="007461BE"/>
    <w:rsid w:val="007462A4"/>
    <w:rsid w:val="00746C78"/>
    <w:rsid w:val="0074705D"/>
    <w:rsid w:val="00747506"/>
    <w:rsid w:val="00747909"/>
    <w:rsid w:val="0074791D"/>
    <w:rsid w:val="007479C8"/>
    <w:rsid w:val="00747AB5"/>
    <w:rsid w:val="00750786"/>
    <w:rsid w:val="00750A1B"/>
    <w:rsid w:val="00750AAA"/>
    <w:rsid w:val="00750BEA"/>
    <w:rsid w:val="007511E7"/>
    <w:rsid w:val="0075183C"/>
    <w:rsid w:val="00751BA5"/>
    <w:rsid w:val="00752334"/>
    <w:rsid w:val="00752AAF"/>
    <w:rsid w:val="00754320"/>
    <w:rsid w:val="00754631"/>
    <w:rsid w:val="007547F9"/>
    <w:rsid w:val="0075487E"/>
    <w:rsid w:val="00754FB6"/>
    <w:rsid w:val="00755006"/>
    <w:rsid w:val="007559AD"/>
    <w:rsid w:val="007561E4"/>
    <w:rsid w:val="00756E94"/>
    <w:rsid w:val="00757095"/>
    <w:rsid w:val="00757256"/>
    <w:rsid w:val="0075774E"/>
    <w:rsid w:val="00760354"/>
    <w:rsid w:val="0076060A"/>
    <w:rsid w:val="0076068F"/>
    <w:rsid w:val="00761275"/>
    <w:rsid w:val="00761796"/>
    <w:rsid w:val="00761949"/>
    <w:rsid w:val="007620D8"/>
    <w:rsid w:val="007620DB"/>
    <w:rsid w:val="00762A2E"/>
    <w:rsid w:val="00762F9C"/>
    <w:rsid w:val="007631CB"/>
    <w:rsid w:val="007634A4"/>
    <w:rsid w:val="0076362A"/>
    <w:rsid w:val="007637F5"/>
    <w:rsid w:val="0076414F"/>
    <w:rsid w:val="00764392"/>
    <w:rsid w:val="007644B5"/>
    <w:rsid w:val="007647E2"/>
    <w:rsid w:val="00764B39"/>
    <w:rsid w:val="00764E8D"/>
    <w:rsid w:val="00765136"/>
    <w:rsid w:val="007651AF"/>
    <w:rsid w:val="007664DB"/>
    <w:rsid w:val="007669DA"/>
    <w:rsid w:val="0076793A"/>
    <w:rsid w:val="00767D5B"/>
    <w:rsid w:val="00770C6C"/>
    <w:rsid w:val="00771690"/>
    <w:rsid w:val="00771B6D"/>
    <w:rsid w:val="00771F5C"/>
    <w:rsid w:val="00772552"/>
    <w:rsid w:val="00772C55"/>
    <w:rsid w:val="00772E8A"/>
    <w:rsid w:val="007734E0"/>
    <w:rsid w:val="00775B31"/>
    <w:rsid w:val="00775EC9"/>
    <w:rsid w:val="007767AE"/>
    <w:rsid w:val="00776A70"/>
    <w:rsid w:val="00776C9E"/>
    <w:rsid w:val="00777A43"/>
    <w:rsid w:val="00780731"/>
    <w:rsid w:val="00780B4A"/>
    <w:rsid w:val="007812FF"/>
    <w:rsid w:val="0078130F"/>
    <w:rsid w:val="00781785"/>
    <w:rsid w:val="00782D9A"/>
    <w:rsid w:val="00782E8C"/>
    <w:rsid w:val="0078324F"/>
    <w:rsid w:val="00783360"/>
    <w:rsid w:val="0078435A"/>
    <w:rsid w:val="0078491C"/>
    <w:rsid w:val="00784B2B"/>
    <w:rsid w:val="00785075"/>
    <w:rsid w:val="007856DC"/>
    <w:rsid w:val="007857E9"/>
    <w:rsid w:val="007866BE"/>
    <w:rsid w:val="007870F0"/>
    <w:rsid w:val="007876E1"/>
    <w:rsid w:val="007877DB"/>
    <w:rsid w:val="00787C38"/>
    <w:rsid w:val="0079005A"/>
    <w:rsid w:val="00790BFF"/>
    <w:rsid w:val="007911CE"/>
    <w:rsid w:val="00791403"/>
    <w:rsid w:val="00791649"/>
    <w:rsid w:val="00791BBB"/>
    <w:rsid w:val="00792279"/>
    <w:rsid w:val="007922A7"/>
    <w:rsid w:val="00792806"/>
    <w:rsid w:val="00792D01"/>
    <w:rsid w:val="007934C8"/>
    <w:rsid w:val="0079363E"/>
    <w:rsid w:val="00793B47"/>
    <w:rsid w:val="00793DFE"/>
    <w:rsid w:val="00794123"/>
    <w:rsid w:val="00794FEC"/>
    <w:rsid w:val="007956BF"/>
    <w:rsid w:val="007957DC"/>
    <w:rsid w:val="0079667C"/>
    <w:rsid w:val="00796882"/>
    <w:rsid w:val="00797383"/>
    <w:rsid w:val="00797EC6"/>
    <w:rsid w:val="007A0E5E"/>
    <w:rsid w:val="007A1479"/>
    <w:rsid w:val="007A15FF"/>
    <w:rsid w:val="007A2350"/>
    <w:rsid w:val="007A23AD"/>
    <w:rsid w:val="007A248E"/>
    <w:rsid w:val="007A26B4"/>
    <w:rsid w:val="007A288E"/>
    <w:rsid w:val="007A334A"/>
    <w:rsid w:val="007A33E8"/>
    <w:rsid w:val="007A3447"/>
    <w:rsid w:val="007A34BE"/>
    <w:rsid w:val="007A3C0A"/>
    <w:rsid w:val="007A3F78"/>
    <w:rsid w:val="007A42BE"/>
    <w:rsid w:val="007A4A50"/>
    <w:rsid w:val="007A4B3F"/>
    <w:rsid w:val="007A4C0B"/>
    <w:rsid w:val="007A4D2F"/>
    <w:rsid w:val="007A5626"/>
    <w:rsid w:val="007A589F"/>
    <w:rsid w:val="007A60ED"/>
    <w:rsid w:val="007A61DD"/>
    <w:rsid w:val="007A703C"/>
    <w:rsid w:val="007A73B8"/>
    <w:rsid w:val="007A7D8D"/>
    <w:rsid w:val="007B0901"/>
    <w:rsid w:val="007B0D7B"/>
    <w:rsid w:val="007B11B7"/>
    <w:rsid w:val="007B1655"/>
    <w:rsid w:val="007B167B"/>
    <w:rsid w:val="007B2E93"/>
    <w:rsid w:val="007B36CE"/>
    <w:rsid w:val="007B39F4"/>
    <w:rsid w:val="007B3D93"/>
    <w:rsid w:val="007B403F"/>
    <w:rsid w:val="007B4A5A"/>
    <w:rsid w:val="007B4AA9"/>
    <w:rsid w:val="007B4DAE"/>
    <w:rsid w:val="007B5067"/>
    <w:rsid w:val="007B5F6E"/>
    <w:rsid w:val="007B78EC"/>
    <w:rsid w:val="007B7F6C"/>
    <w:rsid w:val="007C04D0"/>
    <w:rsid w:val="007C1938"/>
    <w:rsid w:val="007C19CA"/>
    <w:rsid w:val="007C214D"/>
    <w:rsid w:val="007C27D6"/>
    <w:rsid w:val="007C3064"/>
    <w:rsid w:val="007C356F"/>
    <w:rsid w:val="007C3645"/>
    <w:rsid w:val="007C491D"/>
    <w:rsid w:val="007C4ED8"/>
    <w:rsid w:val="007C503E"/>
    <w:rsid w:val="007C5748"/>
    <w:rsid w:val="007C637A"/>
    <w:rsid w:val="007C64AF"/>
    <w:rsid w:val="007C6FAB"/>
    <w:rsid w:val="007C79D6"/>
    <w:rsid w:val="007C7D12"/>
    <w:rsid w:val="007D009B"/>
    <w:rsid w:val="007D03F1"/>
    <w:rsid w:val="007D05E3"/>
    <w:rsid w:val="007D0884"/>
    <w:rsid w:val="007D0952"/>
    <w:rsid w:val="007D1110"/>
    <w:rsid w:val="007D15DC"/>
    <w:rsid w:val="007D16D4"/>
    <w:rsid w:val="007D1EEE"/>
    <w:rsid w:val="007D27F2"/>
    <w:rsid w:val="007D384B"/>
    <w:rsid w:val="007D3AA3"/>
    <w:rsid w:val="007D3EAD"/>
    <w:rsid w:val="007D4045"/>
    <w:rsid w:val="007D4580"/>
    <w:rsid w:val="007D5286"/>
    <w:rsid w:val="007D57DE"/>
    <w:rsid w:val="007D60AE"/>
    <w:rsid w:val="007D7A77"/>
    <w:rsid w:val="007D7F7E"/>
    <w:rsid w:val="007E0231"/>
    <w:rsid w:val="007E054D"/>
    <w:rsid w:val="007E062D"/>
    <w:rsid w:val="007E089E"/>
    <w:rsid w:val="007E0C6D"/>
    <w:rsid w:val="007E10BC"/>
    <w:rsid w:val="007E1694"/>
    <w:rsid w:val="007E1776"/>
    <w:rsid w:val="007E19C3"/>
    <w:rsid w:val="007E1A17"/>
    <w:rsid w:val="007E1DAB"/>
    <w:rsid w:val="007E1DD2"/>
    <w:rsid w:val="007E1EA3"/>
    <w:rsid w:val="007E22AD"/>
    <w:rsid w:val="007E2645"/>
    <w:rsid w:val="007E389D"/>
    <w:rsid w:val="007E3ACB"/>
    <w:rsid w:val="007E3C4E"/>
    <w:rsid w:val="007E3CA6"/>
    <w:rsid w:val="007E407A"/>
    <w:rsid w:val="007E41A5"/>
    <w:rsid w:val="007E4CD8"/>
    <w:rsid w:val="007E558A"/>
    <w:rsid w:val="007E5A5F"/>
    <w:rsid w:val="007E709A"/>
    <w:rsid w:val="007E7175"/>
    <w:rsid w:val="007E799B"/>
    <w:rsid w:val="007E7CD3"/>
    <w:rsid w:val="007E7DFC"/>
    <w:rsid w:val="007E7E7F"/>
    <w:rsid w:val="007F0A7E"/>
    <w:rsid w:val="007F1766"/>
    <w:rsid w:val="007F2AE6"/>
    <w:rsid w:val="007F305C"/>
    <w:rsid w:val="007F3A21"/>
    <w:rsid w:val="007F3F22"/>
    <w:rsid w:val="007F4362"/>
    <w:rsid w:val="007F4375"/>
    <w:rsid w:val="007F4B03"/>
    <w:rsid w:val="007F51E1"/>
    <w:rsid w:val="007F549C"/>
    <w:rsid w:val="007F5509"/>
    <w:rsid w:val="007F5B14"/>
    <w:rsid w:val="007F5F96"/>
    <w:rsid w:val="007F6742"/>
    <w:rsid w:val="007F694B"/>
    <w:rsid w:val="007F7B0C"/>
    <w:rsid w:val="007F7B13"/>
    <w:rsid w:val="00800470"/>
    <w:rsid w:val="00801111"/>
    <w:rsid w:val="008013C9"/>
    <w:rsid w:val="008014A5"/>
    <w:rsid w:val="0080171F"/>
    <w:rsid w:val="008017D9"/>
    <w:rsid w:val="00801B82"/>
    <w:rsid w:val="00801F0C"/>
    <w:rsid w:val="008020FC"/>
    <w:rsid w:val="00802C14"/>
    <w:rsid w:val="00802EC5"/>
    <w:rsid w:val="008034EF"/>
    <w:rsid w:val="008040E3"/>
    <w:rsid w:val="008042CC"/>
    <w:rsid w:val="008050EE"/>
    <w:rsid w:val="008056D4"/>
    <w:rsid w:val="0080637E"/>
    <w:rsid w:val="008067E5"/>
    <w:rsid w:val="008070E5"/>
    <w:rsid w:val="00807167"/>
    <w:rsid w:val="008077FA"/>
    <w:rsid w:val="00810502"/>
    <w:rsid w:val="00810540"/>
    <w:rsid w:val="008105E1"/>
    <w:rsid w:val="0081088C"/>
    <w:rsid w:val="00810ACA"/>
    <w:rsid w:val="00811FB3"/>
    <w:rsid w:val="00812574"/>
    <w:rsid w:val="0081264D"/>
    <w:rsid w:val="008128A0"/>
    <w:rsid w:val="008129F0"/>
    <w:rsid w:val="00813295"/>
    <w:rsid w:val="00813BED"/>
    <w:rsid w:val="0081485D"/>
    <w:rsid w:val="00814EC6"/>
    <w:rsid w:val="00814F16"/>
    <w:rsid w:val="008159AD"/>
    <w:rsid w:val="00815A5A"/>
    <w:rsid w:val="00815F86"/>
    <w:rsid w:val="00816079"/>
    <w:rsid w:val="00816196"/>
    <w:rsid w:val="00816922"/>
    <w:rsid w:val="0081772F"/>
    <w:rsid w:val="008178F5"/>
    <w:rsid w:val="00817C5F"/>
    <w:rsid w:val="00817EBA"/>
    <w:rsid w:val="008202B3"/>
    <w:rsid w:val="008202E6"/>
    <w:rsid w:val="00820606"/>
    <w:rsid w:val="00820788"/>
    <w:rsid w:val="008208AC"/>
    <w:rsid w:val="00820D4C"/>
    <w:rsid w:val="00821744"/>
    <w:rsid w:val="00822229"/>
    <w:rsid w:val="00822EF4"/>
    <w:rsid w:val="00823832"/>
    <w:rsid w:val="008238AD"/>
    <w:rsid w:val="0082391C"/>
    <w:rsid w:val="00823978"/>
    <w:rsid w:val="00824683"/>
    <w:rsid w:val="00824886"/>
    <w:rsid w:val="008249E9"/>
    <w:rsid w:val="00824E4D"/>
    <w:rsid w:val="00824FD0"/>
    <w:rsid w:val="008258EC"/>
    <w:rsid w:val="00826209"/>
    <w:rsid w:val="008264BD"/>
    <w:rsid w:val="00826C69"/>
    <w:rsid w:val="00830045"/>
    <w:rsid w:val="00830815"/>
    <w:rsid w:val="00830C0F"/>
    <w:rsid w:val="0083147F"/>
    <w:rsid w:val="0083165D"/>
    <w:rsid w:val="00831BBD"/>
    <w:rsid w:val="00831C6C"/>
    <w:rsid w:val="008328F0"/>
    <w:rsid w:val="00832BE9"/>
    <w:rsid w:val="00832FAF"/>
    <w:rsid w:val="008332A2"/>
    <w:rsid w:val="00833393"/>
    <w:rsid w:val="00833782"/>
    <w:rsid w:val="0083381D"/>
    <w:rsid w:val="00833E1F"/>
    <w:rsid w:val="00833EF0"/>
    <w:rsid w:val="00834640"/>
    <w:rsid w:val="00834A14"/>
    <w:rsid w:val="00834C87"/>
    <w:rsid w:val="00834EDF"/>
    <w:rsid w:val="008350F4"/>
    <w:rsid w:val="008357F2"/>
    <w:rsid w:val="00835B95"/>
    <w:rsid w:val="00835D67"/>
    <w:rsid w:val="00835EA4"/>
    <w:rsid w:val="00835FC7"/>
    <w:rsid w:val="00836247"/>
    <w:rsid w:val="00836EED"/>
    <w:rsid w:val="00836FA0"/>
    <w:rsid w:val="00837854"/>
    <w:rsid w:val="008403FC"/>
    <w:rsid w:val="008409D2"/>
    <w:rsid w:val="008419E6"/>
    <w:rsid w:val="00841BB6"/>
    <w:rsid w:val="0084283E"/>
    <w:rsid w:val="00842AD6"/>
    <w:rsid w:val="0084307D"/>
    <w:rsid w:val="0084328D"/>
    <w:rsid w:val="00843448"/>
    <w:rsid w:val="00843F49"/>
    <w:rsid w:val="00844659"/>
    <w:rsid w:val="00844A60"/>
    <w:rsid w:val="00844C4C"/>
    <w:rsid w:val="00844F7B"/>
    <w:rsid w:val="0084508F"/>
    <w:rsid w:val="00845A16"/>
    <w:rsid w:val="00845D0A"/>
    <w:rsid w:val="00845E2F"/>
    <w:rsid w:val="00847346"/>
    <w:rsid w:val="00847A52"/>
    <w:rsid w:val="008504C0"/>
    <w:rsid w:val="00850578"/>
    <w:rsid w:val="00850704"/>
    <w:rsid w:val="008507B9"/>
    <w:rsid w:val="008507C5"/>
    <w:rsid w:val="00850D19"/>
    <w:rsid w:val="00850D35"/>
    <w:rsid w:val="00851F35"/>
    <w:rsid w:val="0085254C"/>
    <w:rsid w:val="008527D6"/>
    <w:rsid w:val="0085325E"/>
    <w:rsid w:val="00853EC1"/>
    <w:rsid w:val="0085407C"/>
    <w:rsid w:val="00854382"/>
    <w:rsid w:val="00854896"/>
    <w:rsid w:val="00854A3E"/>
    <w:rsid w:val="008552D0"/>
    <w:rsid w:val="00855A44"/>
    <w:rsid w:val="00855CAC"/>
    <w:rsid w:val="008567D9"/>
    <w:rsid w:val="0085689C"/>
    <w:rsid w:val="00856ADC"/>
    <w:rsid w:val="00856B15"/>
    <w:rsid w:val="00856E1A"/>
    <w:rsid w:val="008570EA"/>
    <w:rsid w:val="00857429"/>
    <w:rsid w:val="00857BE5"/>
    <w:rsid w:val="008601B0"/>
    <w:rsid w:val="0086039D"/>
    <w:rsid w:val="00860420"/>
    <w:rsid w:val="00860866"/>
    <w:rsid w:val="0086095A"/>
    <w:rsid w:val="00860A9E"/>
    <w:rsid w:val="00860ACA"/>
    <w:rsid w:val="00860D98"/>
    <w:rsid w:val="0086157E"/>
    <w:rsid w:val="00861A79"/>
    <w:rsid w:val="00861C7D"/>
    <w:rsid w:val="00861ED0"/>
    <w:rsid w:val="008620D2"/>
    <w:rsid w:val="008632CA"/>
    <w:rsid w:val="00863534"/>
    <w:rsid w:val="00863549"/>
    <w:rsid w:val="008635AF"/>
    <w:rsid w:val="008636B4"/>
    <w:rsid w:val="0086387D"/>
    <w:rsid w:val="00863CB6"/>
    <w:rsid w:val="00864069"/>
    <w:rsid w:val="008640D9"/>
    <w:rsid w:val="0086420B"/>
    <w:rsid w:val="00864343"/>
    <w:rsid w:val="00864B13"/>
    <w:rsid w:val="008659CC"/>
    <w:rsid w:val="00865DE5"/>
    <w:rsid w:val="00865EFB"/>
    <w:rsid w:val="00866387"/>
    <w:rsid w:val="0086651C"/>
    <w:rsid w:val="008675A3"/>
    <w:rsid w:val="00867C40"/>
    <w:rsid w:val="008700EC"/>
    <w:rsid w:val="00870A65"/>
    <w:rsid w:val="00870CA2"/>
    <w:rsid w:val="00871191"/>
    <w:rsid w:val="00871603"/>
    <w:rsid w:val="0087280A"/>
    <w:rsid w:val="00872947"/>
    <w:rsid w:val="00872CDB"/>
    <w:rsid w:val="00872E0C"/>
    <w:rsid w:val="00873194"/>
    <w:rsid w:val="00874339"/>
    <w:rsid w:val="00874887"/>
    <w:rsid w:val="00874C0C"/>
    <w:rsid w:val="00874C0F"/>
    <w:rsid w:val="008753B9"/>
    <w:rsid w:val="00875627"/>
    <w:rsid w:val="00875A52"/>
    <w:rsid w:val="00875BD0"/>
    <w:rsid w:val="00876511"/>
    <w:rsid w:val="008768FC"/>
    <w:rsid w:val="00876925"/>
    <w:rsid w:val="00876A4A"/>
    <w:rsid w:val="00876CD8"/>
    <w:rsid w:val="00877673"/>
    <w:rsid w:val="00877A5A"/>
    <w:rsid w:val="0088012E"/>
    <w:rsid w:val="00880F4F"/>
    <w:rsid w:val="00880FDE"/>
    <w:rsid w:val="008812AF"/>
    <w:rsid w:val="008813B1"/>
    <w:rsid w:val="008818FB"/>
    <w:rsid w:val="008819A6"/>
    <w:rsid w:val="00881D1D"/>
    <w:rsid w:val="00882631"/>
    <w:rsid w:val="008826AA"/>
    <w:rsid w:val="00882A38"/>
    <w:rsid w:val="0088336B"/>
    <w:rsid w:val="00883DAA"/>
    <w:rsid w:val="0088400A"/>
    <w:rsid w:val="00884383"/>
    <w:rsid w:val="00884397"/>
    <w:rsid w:val="00884B0B"/>
    <w:rsid w:val="00885269"/>
    <w:rsid w:val="0088528E"/>
    <w:rsid w:val="0088535F"/>
    <w:rsid w:val="0088541D"/>
    <w:rsid w:val="008857FD"/>
    <w:rsid w:val="00886127"/>
    <w:rsid w:val="00886788"/>
    <w:rsid w:val="00886DA5"/>
    <w:rsid w:val="00887D69"/>
    <w:rsid w:val="00887DEA"/>
    <w:rsid w:val="008902B4"/>
    <w:rsid w:val="00890894"/>
    <w:rsid w:val="00890A71"/>
    <w:rsid w:val="00890AB6"/>
    <w:rsid w:val="00891D37"/>
    <w:rsid w:val="008922EE"/>
    <w:rsid w:val="0089271D"/>
    <w:rsid w:val="0089339D"/>
    <w:rsid w:val="008941E6"/>
    <w:rsid w:val="00894669"/>
    <w:rsid w:val="008949B0"/>
    <w:rsid w:val="00894A5D"/>
    <w:rsid w:val="00894B9E"/>
    <w:rsid w:val="00896141"/>
    <w:rsid w:val="008962E4"/>
    <w:rsid w:val="00896451"/>
    <w:rsid w:val="00897180"/>
    <w:rsid w:val="008A108F"/>
    <w:rsid w:val="008A12C5"/>
    <w:rsid w:val="008A1A93"/>
    <w:rsid w:val="008A238B"/>
    <w:rsid w:val="008A2DB8"/>
    <w:rsid w:val="008A3249"/>
    <w:rsid w:val="008A3309"/>
    <w:rsid w:val="008A3428"/>
    <w:rsid w:val="008A45F2"/>
    <w:rsid w:val="008A6AA0"/>
    <w:rsid w:val="008A7379"/>
    <w:rsid w:val="008A7A2E"/>
    <w:rsid w:val="008A7D11"/>
    <w:rsid w:val="008A7DCD"/>
    <w:rsid w:val="008B07C9"/>
    <w:rsid w:val="008B0972"/>
    <w:rsid w:val="008B0DA3"/>
    <w:rsid w:val="008B171E"/>
    <w:rsid w:val="008B1B3A"/>
    <w:rsid w:val="008B206D"/>
    <w:rsid w:val="008B26FD"/>
    <w:rsid w:val="008B29AC"/>
    <w:rsid w:val="008B3630"/>
    <w:rsid w:val="008B386E"/>
    <w:rsid w:val="008B3DED"/>
    <w:rsid w:val="008B3EB0"/>
    <w:rsid w:val="008B3FA8"/>
    <w:rsid w:val="008B4738"/>
    <w:rsid w:val="008B53B8"/>
    <w:rsid w:val="008B545B"/>
    <w:rsid w:val="008B5B03"/>
    <w:rsid w:val="008B5B5C"/>
    <w:rsid w:val="008B5F16"/>
    <w:rsid w:val="008B65CE"/>
    <w:rsid w:val="008B6945"/>
    <w:rsid w:val="008B7032"/>
    <w:rsid w:val="008B79BE"/>
    <w:rsid w:val="008C0010"/>
    <w:rsid w:val="008C1590"/>
    <w:rsid w:val="008C17AE"/>
    <w:rsid w:val="008C1F06"/>
    <w:rsid w:val="008C208F"/>
    <w:rsid w:val="008C2722"/>
    <w:rsid w:val="008C2FD6"/>
    <w:rsid w:val="008C3B41"/>
    <w:rsid w:val="008C3ED5"/>
    <w:rsid w:val="008C45AE"/>
    <w:rsid w:val="008C4C19"/>
    <w:rsid w:val="008C4DFD"/>
    <w:rsid w:val="008C5245"/>
    <w:rsid w:val="008C5642"/>
    <w:rsid w:val="008C5DFA"/>
    <w:rsid w:val="008C6332"/>
    <w:rsid w:val="008C6DE5"/>
    <w:rsid w:val="008C7476"/>
    <w:rsid w:val="008C7BCB"/>
    <w:rsid w:val="008C7D01"/>
    <w:rsid w:val="008C7D02"/>
    <w:rsid w:val="008D044E"/>
    <w:rsid w:val="008D0470"/>
    <w:rsid w:val="008D0C2D"/>
    <w:rsid w:val="008D0ECE"/>
    <w:rsid w:val="008D1E46"/>
    <w:rsid w:val="008D3051"/>
    <w:rsid w:val="008D3392"/>
    <w:rsid w:val="008D3918"/>
    <w:rsid w:val="008D3EBA"/>
    <w:rsid w:val="008D3F22"/>
    <w:rsid w:val="008D4036"/>
    <w:rsid w:val="008D414C"/>
    <w:rsid w:val="008D436F"/>
    <w:rsid w:val="008D4D5D"/>
    <w:rsid w:val="008D532B"/>
    <w:rsid w:val="008D5739"/>
    <w:rsid w:val="008D5E28"/>
    <w:rsid w:val="008D62E4"/>
    <w:rsid w:val="008D64EB"/>
    <w:rsid w:val="008D753F"/>
    <w:rsid w:val="008D78CE"/>
    <w:rsid w:val="008E081B"/>
    <w:rsid w:val="008E093D"/>
    <w:rsid w:val="008E0A2F"/>
    <w:rsid w:val="008E153A"/>
    <w:rsid w:val="008E15DA"/>
    <w:rsid w:val="008E17B2"/>
    <w:rsid w:val="008E17D3"/>
    <w:rsid w:val="008E1DC3"/>
    <w:rsid w:val="008E228D"/>
    <w:rsid w:val="008E2580"/>
    <w:rsid w:val="008E2824"/>
    <w:rsid w:val="008E2CC1"/>
    <w:rsid w:val="008E33C9"/>
    <w:rsid w:val="008E345B"/>
    <w:rsid w:val="008E3E8A"/>
    <w:rsid w:val="008E42CE"/>
    <w:rsid w:val="008E44C4"/>
    <w:rsid w:val="008E5037"/>
    <w:rsid w:val="008E5466"/>
    <w:rsid w:val="008E5B3D"/>
    <w:rsid w:val="008E62D1"/>
    <w:rsid w:val="008E6906"/>
    <w:rsid w:val="008E6B0A"/>
    <w:rsid w:val="008E6C25"/>
    <w:rsid w:val="008E6C89"/>
    <w:rsid w:val="008E6D9B"/>
    <w:rsid w:val="008E6F63"/>
    <w:rsid w:val="008E7957"/>
    <w:rsid w:val="008F089D"/>
    <w:rsid w:val="008F092F"/>
    <w:rsid w:val="008F0E40"/>
    <w:rsid w:val="008F1682"/>
    <w:rsid w:val="008F183B"/>
    <w:rsid w:val="008F1956"/>
    <w:rsid w:val="008F1DA1"/>
    <w:rsid w:val="008F21C1"/>
    <w:rsid w:val="008F2379"/>
    <w:rsid w:val="008F451A"/>
    <w:rsid w:val="008F58D0"/>
    <w:rsid w:val="008F652E"/>
    <w:rsid w:val="008F6549"/>
    <w:rsid w:val="008F6663"/>
    <w:rsid w:val="008F6DE3"/>
    <w:rsid w:val="008F7150"/>
    <w:rsid w:val="008F7B8E"/>
    <w:rsid w:val="008F7ED4"/>
    <w:rsid w:val="0090084A"/>
    <w:rsid w:val="00900A08"/>
    <w:rsid w:val="009010EE"/>
    <w:rsid w:val="00901129"/>
    <w:rsid w:val="0090119E"/>
    <w:rsid w:val="009014B4"/>
    <w:rsid w:val="0090196F"/>
    <w:rsid w:val="00902D7C"/>
    <w:rsid w:val="00903423"/>
    <w:rsid w:val="00904027"/>
    <w:rsid w:val="00904390"/>
    <w:rsid w:val="00905FA1"/>
    <w:rsid w:val="00906C6B"/>
    <w:rsid w:val="00907E37"/>
    <w:rsid w:val="00907E86"/>
    <w:rsid w:val="00907FEB"/>
    <w:rsid w:val="00910149"/>
    <w:rsid w:val="00910922"/>
    <w:rsid w:val="00910934"/>
    <w:rsid w:val="00910AD4"/>
    <w:rsid w:val="00910B8F"/>
    <w:rsid w:val="00910CC6"/>
    <w:rsid w:val="00910DD2"/>
    <w:rsid w:val="00910E6D"/>
    <w:rsid w:val="00910EED"/>
    <w:rsid w:val="009111BB"/>
    <w:rsid w:val="00911634"/>
    <w:rsid w:val="00911ACF"/>
    <w:rsid w:val="00911C86"/>
    <w:rsid w:val="00912620"/>
    <w:rsid w:val="0091288F"/>
    <w:rsid w:val="00912CCF"/>
    <w:rsid w:val="009134D2"/>
    <w:rsid w:val="0091356A"/>
    <w:rsid w:val="009137ED"/>
    <w:rsid w:val="009138A7"/>
    <w:rsid w:val="00914321"/>
    <w:rsid w:val="00914938"/>
    <w:rsid w:val="00914FF1"/>
    <w:rsid w:val="0091512D"/>
    <w:rsid w:val="0091513D"/>
    <w:rsid w:val="009151D2"/>
    <w:rsid w:val="00915306"/>
    <w:rsid w:val="00915A26"/>
    <w:rsid w:val="00915C88"/>
    <w:rsid w:val="0091669E"/>
    <w:rsid w:val="00916907"/>
    <w:rsid w:val="009179C2"/>
    <w:rsid w:val="00917D37"/>
    <w:rsid w:val="00917F05"/>
    <w:rsid w:val="00920D9D"/>
    <w:rsid w:val="00920FE0"/>
    <w:rsid w:val="00921170"/>
    <w:rsid w:val="009217A5"/>
    <w:rsid w:val="009219FF"/>
    <w:rsid w:val="00922595"/>
    <w:rsid w:val="009227DE"/>
    <w:rsid w:val="0092392E"/>
    <w:rsid w:val="00923AEE"/>
    <w:rsid w:val="009245B6"/>
    <w:rsid w:val="00924B5A"/>
    <w:rsid w:val="00924DFA"/>
    <w:rsid w:val="00924E6F"/>
    <w:rsid w:val="00925500"/>
    <w:rsid w:val="0092558C"/>
    <w:rsid w:val="009258DC"/>
    <w:rsid w:val="00925D7E"/>
    <w:rsid w:val="00925E95"/>
    <w:rsid w:val="009262F9"/>
    <w:rsid w:val="009268E8"/>
    <w:rsid w:val="00926A9F"/>
    <w:rsid w:val="00926D21"/>
    <w:rsid w:val="00926D79"/>
    <w:rsid w:val="00927149"/>
    <w:rsid w:val="00927D93"/>
    <w:rsid w:val="00930A6E"/>
    <w:rsid w:val="00930ADA"/>
    <w:rsid w:val="00930E8F"/>
    <w:rsid w:val="00930F68"/>
    <w:rsid w:val="0093127C"/>
    <w:rsid w:val="00931CF0"/>
    <w:rsid w:val="00931F7D"/>
    <w:rsid w:val="00931F85"/>
    <w:rsid w:val="009322B5"/>
    <w:rsid w:val="009323AF"/>
    <w:rsid w:val="00932871"/>
    <w:rsid w:val="0093359E"/>
    <w:rsid w:val="009338C3"/>
    <w:rsid w:val="0093491F"/>
    <w:rsid w:val="009349FC"/>
    <w:rsid w:val="00934CCE"/>
    <w:rsid w:val="00934D96"/>
    <w:rsid w:val="00935147"/>
    <w:rsid w:val="009353AB"/>
    <w:rsid w:val="0093547B"/>
    <w:rsid w:val="009362F0"/>
    <w:rsid w:val="00936571"/>
    <w:rsid w:val="009368B2"/>
    <w:rsid w:val="00936915"/>
    <w:rsid w:val="00936B15"/>
    <w:rsid w:val="00937742"/>
    <w:rsid w:val="009378C0"/>
    <w:rsid w:val="00940050"/>
    <w:rsid w:val="00940BB8"/>
    <w:rsid w:val="00940D59"/>
    <w:rsid w:val="00941028"/>
    <w:rsid w:val="009410CB"/>
    <w:rsid w:val="00941A1F"/>
    <w:rsid w:val="00941B2A"/>
    <w:rsid w:val="00941DA8"/>
    <w:rsid w:val="00942353"/>
    <w:rsid w:val="00942DDC"/>
    <w:rsid w:val="00943570"/>
    <w:rsid w:val="009450F7"/>
    <w:rsid w:val="009456B4"/>
    <w:rsid w:val="0094602F"/>
    <w:rsid w:val="00946786"/>
    <w:rsid w:val="00946C63"/>
    <w:rsid w:val="00946EA0"/>
    <w:rsid w:val="0094764A"/>
    <w:rsid w:val="0095004E"/>
    <w:rsid w:val="0095103C"/>
    <w:rsid w:val="00952025"/>
    <w:rsid w:val="009524B0"/>
    <w:rsid w:val="0095272A"/>
    <w:rsid w:val="00953AB0"/>
    <w:rsid w:val="00953CC4"/>
    <w:rsid w:val="00953D1A"/>
    <w:rsid w:val="00953D3B"/>
    <w:rsid w:val="00954201"/>
    <w:rsid w:val="0095427C"/>
    <w:rsid w:val="00954DF0"/>
    <w:rsid w:val="00954F4E"/>
    <w:rsid w:val="0095641B"/>
    <w:rsid w:val="009569B7"/>
    <w:rsid w:val="00957164"/>
    <w:rsid w:val="00957559"/>
    <w:rsid w:val="00957661"/>
    <w:rsid w:val="00957A3C"/>
    <w:rsid w:val="0096068B"/>
    <w:rsid w:val="00960C7D"/>
    <w:rsid w:val="0096221A"/>
    <w:rsid w:val="00962614"/>
    <w:rsid w:val="00962EE6"/>
    <w:rsid w:val="00963219"/>
    <w:rsid w:val="009632EC"/>
    <w:rsid w:val="009632FA"/>
    <w:rsid w:val="00963A6E"/>
    <w:rsid w:val="009641D1"/>
    <w:rsid w:val="009655F3"/>
    <w:rsid w:val="0096585A"/>
    <w:rsid w:val="00965DAB"/>
    <w:rsid w:val="00966612"/>
    <w:rsid w:val="00966C25"/>
    <w:rsid w:val="00966E12"/>
    <w:rsid w:val="00967797"/>
    <w:rsid w:val="00970AC6"/>
    <w:rsid w:val="009718E1"/>
    <w:rsid w:val="0097281D"/>
    <w:rsid w:val="00972957"/>
    <w:rsid w:val="00972AA0"/>
    <w:rsid w:val="00972B0B"/>
    <w:rsid w:val="00972C8A"/>
    <w:rsid w:val="0097401B"/>
    <w:rsid w:val="00974BA9"/>
    <w:rsid w:val="00974EE7"/>
    <w:rsid w:val="009751AC"/>
    <w:rsid w:val="00975ABA"/>
    <w:rsid w:val="009765B3"/>
    <w:rsid w:val="00977C2A"/>
    <w:rsid w:val="009803D6"/>
    <w:rsid w:val="00980747"/>
    <w:rsid w:val="0098081A"/>
    <w:rsid w:val="00980A24"/>
    <w:rsid w:val="00980EAA"/>
    <w:rsid w:val="00981285"/>
    <w:rsid w:val="00981405"/>
    <w:rsid w:val="009816EE"/>
    <w:rsid w:val="009820C5"/>
    <w:rsid w:val="00982BE0"/>
    <w:rsid w:val="00983260"/>
    <w:rsid w:val="0098354B"/>
    <w:rsid w:val="00983633"/>
    <w:rsid w:val="00983686"/>
    <w:rsid w:val="009840AC"/>
    <w:rsid w:val="00985497"/>
    <w:rsid w:val="00985773"/>
    <w:rsid w:val="00985B75"/>
    <w:rsid w:val="009860C9"/>
    <w:rsid w:val="00986405"/>
    <w:rsid w:val="00986819"/>
    <w:rsid w:val="00987A4C"/>
    <w:rsid w:val="00987C79"/>
    <w:rsid w:val="00990708"/>
    <w:rsid w:val="00990C07"/>
    <w:rsid w:val="00990F1F"/>
    <w:rsid w:val="009912C9"/>
    <w:rsid w:val="00991696"/>
    <w:rsid w:val="00991EFD"/>
    <w:rsid w:val="0099246C"/>
    <w:rsid w:val="0099349F"/>
    <w:rsid w:val="009934CC"/>
    <w:rsid w:val="0099358A"/>
    <w:rsid w:val="0099484D"/>
    <w:rsid w:val="00994ADF"/>
    <w:rsid w:val="00994D2B"/>
    <w:rsid w:val="00995FE4"/>
    <w:rsid w:val="00996319"/>
    <w:rsid w:val="00996A03"/>
    <w:rsid w:val="00996A06"/>
    <w:rsid w:val="00996C04"/>
    <w:rsid w:val="00997663"/>
    <w:rsid w:val="00997911"/>
    <w:rsid w:val="00997E5E"/>
    <w:rsid w:val="009A1AB2"/>
    <w:rsid w:val="009A1C1B"/>
    <w:rsid w:val="009A201E"/>
    <w:rsid w:val="009A2298"/>
    <w:rsid w:val="009A2328"/>
    <w:rsid w:val="009A2389"/>
    <w:rsid w:val="009A244D"/>
    <w:rsid w:val="009A260B"/>
    <w:rsid w:val="009A273F"/>
    <w:rsid w:val="009A2CDA"/>
    <w:rsid w:val="009A384A"/>
    <w:rsid w:val="009A397E"/>
    <w:rsid w:val="009A3988"/>
    <w:rsid w:val="009A41F0"/>
    <w:rsid w:val="009A4C72"/>
    <w:rsid w:val="009A54E2"/>
    <w:rsid w:val="009A5632"/>
    <w:rsid w:val="009A567A"/>
    <w:rsid w:val="009A5888"/>
    <w:rsid w:val="009A5F91"/>
    <w:rsid w:val="009A63F3"/>
    <w:rsid w:val="009A6C07"/>
    <w:rsid w:val="009A73AC"/>
    <w:rsid w:val="009A74B3"/>
    <w:rsid w:val="009A75C7"/>
    <w:rsid w:val="009A769F"/>
    <w:rsid w:val="009A78E6"/>
    <w:rsid w:val="009A7C4E"/>
    <w:rsid w:val="009A7F2F"/>
    <w:rsid w:val="009B013D"/>
    <w:rsid w:val="009B03B0"/>
    <w:rsid w:val="009B0636"/>
    <w:rsid w:val="009B07FA"/>
    <w:rsid w:val="009B0A49"/>
    <w:rsid w:val="009B0C01"/>
    <w:rsid w:val="009B0C9B"/>
    <w:rsid w:val="009B0F35"/>
    <w:rsid w:val="009B0F89"/>
    <w:rsid w:val="009B13A2"/>
    <w:rsid w:val="009B17C2"/>
    <w:rsid w:val="009B1CA9"/>
    <w:rsid w:val="009B1F8C"/>
    <w:rsid w:val="009B2ABB"/>
    <w:rsid w:val="009B2C2D"/>
    <w:rsid w:val="009B3092"/>
    <w:rsid w:val="009B30B0"/>
    <w:rsid w:val="009B343F"/>
    <w:rsid w:val="009B4681"/>
    <w:rsid w:val="009B4BBF"/>
    <w:rsid w:val="009B4DE8"/>
    <w:rsid w:val="009B5101"/>
    <w:rsid w:val="009B53CC"/>
    <w:rsid w:val="009B5CCC"/>
    <w:rsid w:val="009B628E"/>
    <w:rsid w:val="009B6421"/>
    <w:rsid w:val="009B6D0C"/>
    <w:rsid w:val="009B7566"/>
    <w:rsid w:val="009B7CAE"/>
    <w:rsid w:val="009C0D25"/>
    <w:rsid w:val="009C0DE3"/>
    <w:rsid w:val="009C1970"/>
    <w:rsid w:val="009C1AF2"/>
    <w:rsid w:val="009C1D6E"/>
    <w:rsid w:val="009C1E0D"/>
    <w:rsid w:val="009C1EDC"/>
    <w:rsid w:val="009C2103"/>
    <w:rsid w:val="009C24FC"/>
    <w:rsid w:val="009C3B52"/>
    <w:rsid w:val="009C3F7D"/>
    <w:rsid w:val="009C4362"/>
    <w:rsid w:val="009C489E"/>
    <w:rsid w:val="009C50C9"/>
    <w:rsid w:val="009C55CC"/>
    <w:rsid w:val="009C6B5B"/>
    <w:rsid w:val="009C78C1"/>
    <w:rsid w:val="009D034A"/>
    <w:rsid w:val="009D0821"/>
    <w:rsid w:val="009D087F"/>
    <w:rsid w:val="009D0E6A"/>
    <w:rsid w:val="009D1CC6"/>
    <w:rsid w:val="009D21B3"/>
    <w:rsid w:val="009D2E81"/>
    <w:rsid w:val="009D34CA"/>
    <w:rsid w:val="009D3B35"/>
    <w:rsid w:val="009D3B52"/>
    <w:rsid w:val="009D47FD"/>
    <w:rsid w:val="009D49CE"/>
    <w:rsid w:val="009D4FE4"/>
    <w:rsid w:val="009D52EE"/>
    <w:rsid w:val="009D5387"/>
    <w:rsid w:val="009D5FCE"/>
    <w:rsid w:val="009D6533"/>
    <w:rsid w:val="009D68EF"/>
    <w:rsid w:val="009D6E43"/>
    <w:rsid w:val="009D6EDC"/>
    <w:rsid w:val="009D73DB"/>
    <w:rsid w:val="009D7B32"/>
    <w:rsid w:val="009E01B7"/>
    <w:rsid w:val="009E05A4"/>
    <w:rsid w:val="009E0855"/>
    <w:rsid w:val="009E0CA6"/>
    <w:rsid w:val="009E0F9A"/>
    <w:rsid w:val="009E22BD"/>
    <w:rsid w:val="009E263A"/>
    <w:rsid w:val="009E28CB"/>
    <w:rsid w:val="009E3369"/>
    <w:rsid w:val="009E3897"/>
    <w:rsid w:val="009E3B59"/>
    <w:rsid w:val="009E3D34"/>
    <w:rsid w:val="009E3D8F"/>
    <w:rsid w:val="009E4E5E"/>
    <w:rsid w:val="009E502A"/>
    <w:rsid w:val="009E59C6"/>
    <w:rsid w:val="009E5E0F"/>
    <w:rsid w:val="009E66AA"/>
    <w:rsid w:val="009E6819"/>
    <w:rsid w:val="009E6D33"/>
    <w:rsid w:val="009E6E90"/>
    <w:rsid w:val="009E735E"/>
    <w:rsid w:val="009E7E4E"/>
    <w:rsid w:val="009F07E2"/>
    <w:rsid w:val="009F0D2F"/>
    <w:rsid w:val="009F14A6"/>
    <w:rsid w:val="009F1586"/>
    <w:rsid w:val="009F1B67"/>
    <w:rsid w:val="009F1C3E"/>
    <w:rsid w:val="009F27C2"/>
    <w:rsid w:val="009F35C7"/>
    <w:rsid w:val="009F3D3F"/>
    <w:rsid w:val="009F3E99"/>
    <w:rsid w:val="009F46BF"/>
    <w:rsid w:val="009F485D"/>
    <w:rsid w:val="009F515C"/>
    <w:rsid w:val="009F5291"/>
    <w:rsid w:val="009F5EC2"/>
    <w:rsid w:val="009F6ACD"/>
    <w:rsid w:val="009F7637"/>
    <w:rsid w:val="009F767D"/>
    <w:rsid w:val="00A000F0"/>
    <w:rsid w:val="00A00326"/>
    <w:rsid w:val="00A0088A"/>
    <w:rsid w:val="00A00B42"/>
    <w:rsid w:val="00A00D75"/>
    <w:rsid w:val="00A011B3"/>
    <w:rsid w:val="00A0188E"/>
    <w:rsid w:val="00A02124"/>
    <w:rsid w:val="00A02366"/>
    <w:rsid w:val="00A02B27"/>
    <w:rsid w:val="00A0363B"/>
    <w:rsid w:val="00A039CE"/>
    <w:rsid w:val="00A040E4"/>
    <w:rsid w:val="00A05A99"/>
    <w:rsid w:val="00A05B89"/>
    <w:rsid w:val="00A064BA"/>
    <w:rsid w:val="00A0695A"/>
    <w:rsid w:val="00A0696B"/>
    <w:rsid w:val="00A06CCB"/>
    <w:rsid w:val="00A073D3"/>
    <w:rsid w:val="00A073E1"/>
    <w:rsid w:val="00A074FF"/>
    <w:rsid w:val="00A07B55"/>
    <w:rsid w:val="00A10AE0"/>
    <w:rsid w:val="00A10CE8"/>
    <w:rsid w:val="00A11098"/>
    <w:rsid w:val="00A11325"/>
    <w:rsid w:val="00A114B9"/>
    <w:rsid w:val="00A11B37"/>
    <w:rsid w:val="00A124DC"/>
    <w:rsid w:val="00A12B43"/>
    <w:rsid w:val="00A13877"/>
    <w:rsid w:val="00A1397D"/>
    <w:rsid w:val="00A13C3C"/>
    <w:rsid w:val="00A1420D"/>
    <w:rsid w:val="00A14BD5"/>
    <w:rsid w:val="00A150B4"/>
    <w:rsid w:val="00A15243"/>
    <w:rsid w:val="00A15359"/>
    <w:rsid w:val="00A161DB"/>
    <w:rsid w:val="00A16222"/>
    <w:rsid w:val="00A16E22"/>
    <w:rsid w:val="00A17087"/>
    <w:rsid w:val="00A17F47"/>
    <w:rsid w:val="00A20048"/>
    <w:rsid w:val="00A2050E"/>
    <w:rsid w:val="00A20726"/>
    <w:rsid w:val="00A21007"/>
    <w:rsid w:val="00A2108E"/>
    <w:rsid w:val="00A210CF"/>
    <w:rsid w:val="00A21662"/>
    <w:rsid w:val="00A217BF"/>
    <w:rsid w:val="00A225A6"/>
    <w:rsid w:val="00A225DC"/>
    <w:rsid w:val="00A23913"/>
    <w:rsid w:val="00A23B3D"/>
    <w:rsid w:val="00A24441"/>
    <w:rsid w:val="00A254FE"/>
    <w:rsid w:val="00A25E79"/>
    <w:rsid w:val="00A261C5"/>
    <w:rsid w:val="00A2700F"/>
    <w:rsid w:val="00A2714C"/>
    <w:rsid w:val="00A27C1C"/>
    <w:rsid w:val="00A27D7D"/>
    <w:rsid w:val="00A300F5"/>
    <w:rsid w:val="00A300FE"/>
    <w:rsid w:val="00A310C1"/>
    <w:rsid w:val="00A31D10"/>
    <w:rsid w:val="00A32333"/>
    <w:rsid w:val="00A3318D"/>
    <w:rsid w:val="00A3327D"/>
    <w:rsid w:val="00A332DB"/>
    <w:rsid w:val="00A33352"/>
    <w:rsid w:val="00A33A1B"/>
    <w:rsid w:val="00A33A30"/>
    <w:rsid w:val="00A35C5B"/>
    <w:rsid w:val="00A36B60"/>
    <w:rsid w:val="00A36B71"/>
    <w:rsid w:val="00A36D50"/>
    <w:rsid w:val="00A36F5A"/>
    <w:rsid w:val="00A375FE"/>
    <w:rsid w:val="00A37B6D"/>
    <w:rsid w:val="00A4067B"/>
    <w:rsid w:val="00A4143A"/>
    <w:rsid w:val="00A41504"/>
    <w:rsid w:val="00A41A70"/>
    <w:rsid w:val="00A41A84"/>
    <w:rsid w:val="00A41C9B"/>
    <w:rsid w:val="00A41DF7"/>
    <w:rsid w:val="00A431D1"/>
    <w:rsid w:val="00A435E6"/>
    <w:rsid w:val="00A4367F"/>
    <w:rsid w:val="00A4406B"/>
    <w:rsid w:val="00A440CC"/>
    <w:rsid w:val="00A4425C"/>
    <w:rsid w:val="00A443AE"/>
    <w:rsid w:val="00A44922"/>
    <w:rsid w:val="00A44B55"/>
    <w:rsid w:val="00A45130"/>
    <w:rsid w:val="00A45134"/>
    <w:rsid w:val="00A45AA4"/>
    <w:rsid w:val="00A45B3D"/>
    <w:rsid w:val="00A46192"/>
    <w:rsid w:val="00A46516"/>
    <w:rsid w:val="00A4665D"/>
    <w:rsid w:val="00A4668F"/>
    <w:rsid w:val="00A46E0B"/>
    <w:rsid w:val="00A470EF"/>
    <w:rsid w:val="00A471D7"/>
    <w:rsid w:val="00A47D06"/>
    <w:rsid w:val="00A50126"/>
    <w:rsid w:val="00A515E2"/>
    <w:rsid w:val="00A5162A"/>
    <w:rsid w:val="00A520E4"/>
    <w:rsid w:val="00A52484"/>
    <w:rsid w:val="00A525E9"/>
    <w:rsid w:val="00A53119"/>
    <w:rsid w:val="00A53318"/>
    <w:rsid w:val="00A53436"/>
    <w:rsid w:val="00A5381D"/>
    <w:rsid w:val="00A53FA3"/>
    <w:rsid w:val="00A5411D"/>
    <w:rsid w:val="00A5466C"/>
    <w:rsid w:val="00A54877"/>
    <w:rsid w:val="00A548F3"/>
    <w:rsid w:val="00A54AC8"/>
    <w:rsid w:val="00A55439"/>
    <w:rsid w:val="00A5583B"/>
    <w:rsid w:val="00A55CC0"/>
    <w:rsid w:val="00A55E68"/>
    <w:rsid w:val="00A56F8F"/>
    <w:rsid w:val="00A6058A"/>
    <w:rsid w:val="00A60718"/>
    <w:rsid w:val="00A60A1C"/>
    <w:rsid w:val="00A6112E"/>
    <w:rsid w:val="00A614C2"/>
    <w:rsid w:val="00A616EF"/>
    <w:rsid w:val="00A617C4"/>
    <w:rsid w:val="00A61F30"/>
    <w:rsid w:val="00A628F4"/>
    <w:rsid w:val="00A62A7F"/>
    <w:rsid w:val="00A62B2F"/>
    <w:rsid w:val="00A62CCC"/>
    <w:rsid w:val="00A63188"/>
    <w:rsid w:val="00A64E28"/>
    <w:rsid w:val="00A65047"/>
    <w:rsid w:val="00A65A3D"/>
    <w:rsid w:val="00A66B8D"/>
    <w:rsid w:val="00A67D13"/>
    <w:rsid w:val="00A7085F"/>
    <w:rsid w:val="00A71016"/>
    <w:rsid w:val="00A710FB"/>
    <w:rsid w:val="00A71D22"/>
    <w:rsid w:val="00A72071"/>
    <w:rsid w:val="00A72479"/>
    <w:rsid w:val="00A72691"/>
    <w:rsid w:val="00A732EC"/>
    <w:rsid w:val="00A7352C"/>
    <w:rsid w:val="00A7369D"/>
    <w:rsid w:val="00A741D4"/>
    <w:rsid w:val="00A7463A"/>
    <w:rsid w:val="00A75932"/>
    <w:rsid w:val="00A75C87"/>
    <w:rsid w:val="00A760BD"/>
    <w:rsid w:val="00A761CE"/>
    <w:rsid w:val="00A76423"/>
    <w:rsid w:val="00A775CB"/>
    <w:rsid w:val="00A809D3"/>
    <w:rsid w:val="00A80EB9"/>
    <w:rsid w:val="00A80FC7"/>
    <w:rsid w:val="00A80FD9"/>
    <w:rsid w:val="00A8134E"/>
    <w:rsid w:val="00A814F0"/>
    <w:rsid w:val="00A82AB7"/>
    <w:rsid w:val="00A82D7B"/>
    <w:rsid w:val="00A830B1"/>
    <w:rsid w:val="00A83F01"/>
    <w:rsid w:val="00A83F50"/>
    <w:rsid w:val="00A8405C"/>
    <w:rsid w:val="00A841F0"/>
    <w:rsid w:val="00A84D82"/>
    <w:rsid w:val="00A85D84"/>
    <w:rsid w:val="00A867ED"/>
    <w:rsid w:val="00A8690E"/>
    <w:rsid w:val="00A86BC9"/>
    <w:rsid w:val="00A86D78"/>
    <w:rsid w:val="00A86FE9"/>
    <w:rsid w:val="00A8730A"/>
    <w:rsid w:val="00A873E3"/>
    <w:rsid w:val="00A8792A"/>
    <w:rsid w:val="00A87FD7"/>
    <w:rsid w:val="00A9021E"/>
    <w:rsid w:val="00A9043F"/>
    <w:rsid w:val="00A90C5C"/>
    <w:rsid w:val="00A91C09"/>
    <w:rsid w:val="00A91DAA"/>
    <w:rsid w:val="00A92D48"/>
    <w:rsid w:val="00A92F21"/>
    <w:rsid w:val="00A93E79"/>
    <w:rsid w:val="00A9478D"/>
    <w:rsid w:val="00A94BF2"/>
    <w:rsid w:val="00A94FF7"/>
    <w:rsid w:val="00A9525D"/>
    <w:rsid w:val="00A9612E"/>
    <w:rsid w:val="00A9645C"/>
    <w:rsid w:val="00A96C86"/>
    <w:rsid w:val="00A97324"/>
    <w:rsid w:val="00A9733B"/>
    <w:rsid w:val="00A97718"/>
    <w:rsid w:val="00AA0A91"/>
    <w:rsid w:val="00AA161F"/>
    <w:rsid w:val="00AA2210"/>
    <w:rsid w:val="00AA25E3"/>
    <w:rsid w:val="00AA26F0"/>
    <w:rsid w:val="00AA300B"/>
    <w:rsid w:val="00AA30C4"/>
    <w:rsid w:val="00AA3139"/>
    <w:rsid w:val="00AA32C4"/>
    <w:rsid w:val="00AA36F9"/>
    <w:rsid w:val="00AA3925"/>
    <w:rsid w:val="00AA3C22"/>
    <w:rsid w:val="00AA3C24"/>
    <w:rsid w:val="00AA3CF1"/>
    <w:rsid w:val="00AA3FA3"/>
    <w:rsid w:val="00AA4196"/>
    <w:rsid w:val="00AA434E"/>
    <w:rsid w:val="00AA4519"/>
    <w:rsid w:val="00AA5196"/>
    <w:rsid w:val="00AA5710"/>
    <w:rsid w:val="00AA5B8D"/>
    <w:rsid w:val="00AA5EA8"/>
    <w:rsid w:val="00AA5EE0"/>
    <w:rsid w:val="00AA6A68"/>
    <w:rsid w:val="00AA6FDE"/>
    <w:rsid w:val="00AA711C"/>
    <w:rsid w:val="00AA7C6A"/>
    <w:rsid w:val="00AB09FD"/>
    <w:rsid w:val="00AB0A25"/>
    <w:rsid w:val="00AB0B0D"/>
    <w:rsid w:val="00AB0B95"/>
    <w:rsid w:val="00AB1324"/>
    <w:rsid w:val="00AB1B23"/>
    <w:rsid w:val="00AB1B61"/>
    <w:rsid w:val="00AB236E"/>
    <w:rsid w:val="00AB28B2"/>
    <w:rsid w:val="00AB38DB"/>
    <w:rsid w:val="00AB4D6E"/>
    <w:rsid w:val="00AB4E05"/>
    <w:rsid w:val="00AB5321"/>
    <w:rsid w:val="00AB5793"/>
    <w:rsid w:val="00AB5E75"/>
    <w:rsid w:val="00AB63C8"/>
    <w:rsid w:val="00AB63D0"/>
    <w:rsid w:val="00AB6ED8"/>
    <w:rsid w:val="00AB7C45"/>
    <w:rsid w:val="00AC001A"/>
    <w:rsid w:val="00AC07B0"/>
    <w:rsid w:val="00AC09E5"/>
    <w:rsid w:val="00AC0E67"/>
    <w:rsid w:val="00AC0EF6"/>
    <w:rsid w:val="00AC0F03"/>
    <w:rsid w:val="00AC0F69"/>
    <w:rsid w:val="00AC12A7"/>
    <w:rsid w:val="00AC14D6"/>
    <w:rsid w:val="00AC25B3"/>
    <w:rsid w:val="00AC2DFD"/>
    <w:rsid w:val="00AC46BC"/>
    <w:rsid w:val="00AC4AF1"/>
    <w:rsid w:val="00AC4B3C"/>
    <w:rsid w:val="00AC5850"/>
    <w:rsid w:val="00AC5B42"/>
    <w:rsid w:val="00AC7DB3"/>
    <w:rsid w:val="00AD00BF"/>
    <w:rsid w:val="00AD04A9"/>
    <w:rsid w:val="00AD07F9"/>
    <w:rsid w:val="00AD0847"/>
    <w:rsid w:val="00AD1159"/>
    <w:rsid w:val="00AD11EA"/>
    <w:rsid w:val="00AD12F1"/>
    <w:rsid w:val="00AD1685"/>
    <w:rsid w:val="00AD17D1"/>
    <w:rsid w:val="00AD198F"/>
    <w:rsid w:val="00AD1A36"/>
    <w:rsid w:val="00AD1B7C"/>
    <w:rsid w:val="00AD2175"/>
    <w:rsid w:val="00AD2AD9"/>
    <w:rsid w:val="00AD2EC0"/>
    <w:rsid w:val="00AD38E8"/>
    <w:rsid w:val="00AD5735"/>
    <w:rsid w:val="00AD589C"/>
    <w:rsid w:val="00AD5DD2"/>
    <w:rsid w:val="00AD6181"/>
    <w:rsid w:val="00AD644E"/>
    <w:rsid w:val="00AD68B7"/>
    <w:rsid w:val="00AD6D15"/>
    <w:rsid w:val="00AD7171"/>
    <w:rsid w:val="00AD729E"/>
    <w:rsid w:val="00AD7F86"/>
    <w:rsid w:val="00AE0946"/>
    <w:rsid w:val="00AE0AF8"/>
    <w:rsid w:val="00AE0BE9"/>
    <w:rsid w:val="00AE17EB"/>
    <w:rsid w:val="00AE1D1C"/>
    <w:rsid w:val="00AE1DF1"/>
    <w:rsid w:val="00AE2BDB"/>
    <w:rsid w:val="00AE2E4E"/>
    <w:rsid w:val="00AE31E4"/>
    <w:rsid w:val="00AE3D0A"/>
    <w:rsid w:val="00AE3E5E"/>
    <w:rsid w:val="00AE4425"/>
    <w:rsid w:val="00AE4AAA"/>
    <w:rsid w:val="00AE502C"/>
    <w:rsid w:val="00AE5929"/>
    <w:rsid w:val="00AE7081"/>
    <w:rsid w:val="00AE74B6"/>
    <w:rsid w:val="00AE7D47"/>
    <w:rsid w:val="00AE7D77"/>
    <w:rsid w:val="00AF0E79"/>
    <w:rsid w:val="00AF0F86"/>
    <w:rsid w:val="00AF34E9"/>
    <w:rsid w:val="00AF41AB"/>
    <w:rsid w:val="00AF546B"/>
    <w:rsid w:val="00AF5AC9"/>
    <w:rsid w:val="00AF72D4"/>
    <w:rsid w:val="00AF7667"/>
    <w:rsid w:val="00AF7957"/>
    <w:rsid w:val="00AF7FA1"/>
    <w:rsid w:val="00B0055F"/>
    <w:rsid w:val="00B00B9A"/>
    <w:rsid w:val="00B01257"/>
    <w:rsid w:val="00B0186B"/>
    <w:rsid w:val="00B01C0E"/>
    <w:rsid w:val="00B01D60"/>
    <w:rsid w:val="00B01F42"/>
    <w:rsid w:val="00B02EB8"/>
    <w:rsid w:val="00B0314F"/>
    <w:rsid w:val="00B039AB"/>
    <w:rsid w:val="00B03CBB"/>
    <w:rsid w:val="00B041A5"/>
    <w:rsid w:val="00B04859"/>
    <w:rsid w:val="00B04C21"/>
    <w:rsid w:val="00B04D66"/>
    <w:rsid w:val="00B04EEC"/>
    <w:rsid w:val="00B06F60"/>
    <w:rsid w:val="00B07533"/>
    <w:rsid w:val="00B10138"/>
    <w:rsid w:val="00B10180"/>
    <w:rsid w:val="00B10C26"/>
    <w:rsid w:val="00B10D1A"/>
    <w:rsid w:val="00B1146A"/>
    <w:rsid w:val="00B116FB"/>
    <w:rsid w:val="00B11E33"/>
    <w:rsid w:val="00B1205B"/>
    <w:rsid w:val="00B12265"/>
    <w:rsid w:val="00B129F3"/>
    <w:rsid w:val="00B12D72"/>
    <w:rsid w:val="00B132E9"/>
    <w:rsid w:val="00B13647"/>
    <w:rsid w:val="00B136F6"/>
    <w:rsid w:val="00B139BD"/>
    <w:rsid w:val="00B13A8D"/>
    <w:rsid w:val="00B13D26"/>
    <w:rsid w:val="00B14DF4"/>
    <w:rsid w:val="00B1516C"/>
    <w:rsid w:val="00B15A72"/>
    <w:rsid w:val="00B15F9D"/>
    <w:rsid w:val="00B1616A"/>
    <w:rsid w:val="00B17774"/>
    <w:rsid w:val="00B17845"/>
    <w:rsid w:val="00B20A05"/>
    <w:rsid w:val="00B213E4"/>
    <w:rsid w:val="00B2230C"/>
    <w:rsid w:val="00B22CDE"/>
    <w:rsid w:val="00B239C8"/>
    <w:rsid w:val="00B246A1"/>
    <w:rsid w:val="00B24E00"/>
    <w:rsid w:val="00B25287"/>
    <w:rsid w:val="00B2543C"/>
    <w:rsid w:val="00B256ED"/>
    <w:rsid w:val="00B25A2D"/>
    <w:rsid w:val="00B25B11"/>
    <w:rsid w:val="00B26560"/>
    <w:rsid w:val="00B26C1C"/>
    <w:rsid w:val="00B3055C"/>
    <w:rsid w:val="00B309D0"/>
    <w:rsid w:val="00B312B5"/>
    <w:rsid w:val="00B312BD"/>
    <w:rsid w:val="00B317A2"/>
    <w:rsid w:val="00B31C20"/>
    <w:rsid w:val="00B31C9E"/>
    <w:rsid w:val="00B324BF"/>
    <w:rsid w:val="00B32BBB"/>
    <w:rsid w:val="00B33BA7"/>
    <w:rsid w:val="00B33E82"/>
    <w:rsid w:val="00B3413A"/>
    <w:rsid w:val="00B34923"/>
    <w:rsid w:val="00B34DB4"/>
    <w:rsid w:val="00B356A7"/>
    <w:rsid w:val="00B358EA"/>
    <w:rsid w:val="00B35FC1"/>
    <w:rsid w:val="00B36B67"/>
    <w:rsid w:val="00B36DD8"/>
    <w:rsid w:val="00B37690"/>
    <w:rsid w:val="00B37E45"/>
    <w:rsid w:val="00B4137C"/>
    <w:rsid w:val="00B416BC"/>
    <w:rsid w:val="00B41C72"/>
    <w:rsid w:val="00B41DCC"/>
    <w:rsid w:val="00B4253C"/>
    <w:rsid w:val="00B425D2"/>
    <w:rsid w:val="00B432BB"/>
    <w:rsid w:val="00B4341F"/>
    <w:rsid w:val="00B437A6"/>
    <w:rsid w:val="00B445EC"/>
    <w:rsid w:val="00B44B62"/>
    <w:rsid w:val="00B450F1"/>
    <w:rsid w:val="00B45279"/>
    <w:rsid w:val="00B456A9"/>
    <w:rsid w:val="00B457F0"/>
    <w:rsid w:val="00B458EB"/>
    <w:rsid w:val="00B45CF8"/>
    <w:rsid w:val="00B45F28"/>
    <w:rsid w:val="00B46F30"/>
    <w:rsid w:val="00B46F6D"/>
    <w:rsid w:val="00B477BE"/>
    <w:rsid w:val="00B50119"/>
    <w:rsid w:val="00B50A8D"/>
    <w:rsid w:val="00B50D4D"/>
    <w:rsid w:val="00B51419"/>
    <w:rsid w:val="00B5150F"/>
    <w:rsid w:val="00B51EC2"/>
    <w:rsid w:val="00B51F16"/>
    <w:rsid w:val="00B52049"/>
    <w:rsid w:val="00B527DE"/>
    <w:rsid w:val="00B53557"/>
    <w:rsid w:val="00B53729"/>
    <w:rsid w:val="00B5403F"/>
    <w:rsid w:val="00B54FAF"/>
    <w:rsid w:val="00B55094"/>
    <w:rsid w:val="00B5513B"/>
    <w:rsid w:val="00B55974"/>
    <w:rsid w:val="00B55C85"/>
    <w:rsid w:val="00B57078"/>
    <w:rsid w:val="00B570D0"/>
    <w:rsid w:val="00B570EA"/>
    <w:rsid w:val="00B57276"/>
    <w:rsid w:val="00B57517"/>
    <w:rsid w:val="00B579FA"/>
    <w:rsid w:val="00B6017B"/>
    <w:rsid w:val="00B60D42"/>
    <w:rsid w:val="00B61F33"/>
    <w:rsid w:val="00B62C9F"/>
    <w:rsid w:val="00B62D35"/>
    <w:rsid w:val="00B62EC4"/>
    <w:rsid w:val="00B62F3A"/>
    <w:rsid w:val="00B636BC"/>
    <w:rsid w:val="00B643AA"/>
    <w:rsid w:val="00B649B8"/>
    <w:rsid w:val="00B64CEE"/>
    <w:rsid w:val="00B65915"/>
    <w:rsid w:val="00B65955"/>
    <w:rsid w:val="00B66296"/>
    <w:rsid w:val="00B66706"/>
    <w:rsid w:val="00B66B74"/>
    <w:rsid w:val="00B672B1"/>
    <w:rsid w:val="00B678CE"/>
    <w:rsid w:val="00B67CB9"/>
    <w:rsid w:val="00B67D10"/>
    <w:rsid w:val="00B67ED4"/>
    <w:rsid w:val="00B70B9D"/>
    <w:rsid w:val="00B7115A"/>
    <w:rsid w:val="00B71FE8"/>
    <w:rsid w:val="00B72BB3"/>
    <w:rsid w:val="00B73135"/>
    <w:rsid w:val="00B73777"/>
    <w:rsid w:val="00B738A0"/>
    <w:rsid w:val="00B73A04"/>
    <w:rsid w:val="00B73BB7"/>
    <w:rsid w:val="00B74459"/>
    <w:rsid w:val="00B74A99"/>
    <w:rsid w:val="00B74C66"/>
    <w:rsid w:val="00B74E35"/>
    <w:rsid w:val="00B767F4"/>
    <w:rsid w:val="00B76F03"/>
    <w:rsid w:val="00B76F4D"/>
    <w:rsid w:val="00B775C6"/>
    <w:rsid w:val="00B776B1"/>
    <w:rsid w:val="00B77DBB"/>
    <w:rsid w:val="00B80127"/>
    <w:rsid w:val="00B807EC"/>
    <w:rsid w:val="00B80A07"/>
    <w:rsid w:val="00B8116C"/>
    <w:rsid w:val="00B8128E"/>
    <w:rsid w:val="00B81502"/>
    <w:rsid w:val="00B8181F"/>
    <w:rsid w:val="00B81882"/>
    <w:rsid w:val="00B8193D"/>
    <w:rsid w:val="00B826FC"/>
    <w:rsid w:val="00B82764"/>
    <w:rsid w:val="00B828ED"/>
    <w:rsid w:val="00B82BBB"/>
    <w:rsid w:val="00B82E5C"/>
    <w:rsid w:val="00B832AF"/>
    <w:rsid w:val="00B83472"/>
    <w:rsid w:val="00B86492"/>
    <w:rsid w:val="00B8686D"/>
    <w:rsid w:val="00B87118"/>
    <w:rsid w:val="00B87225"/>
    <w:rsid w:val="00B879F2"/>
    <w:rsid w:val="00B900C7"/>
    <w:rsid w:val="00B900ED"/>
    <w:rsid w:val="00B9037F"/>
    <w:rsid w:val="00B90C79"/>
    <w:rsid w:val="00B90EFA"/>
    <w:rsid w:val="00B91047"/>
    <w:rsid w:val="00B91507"/>
    <w:rsid w:val="00B921C7"/>
    <w:rsid w:val="00B922F6"/>
    <w:rsid w:val="00B927E3"/>
    <w:rsid w:val="00B92CE6"/>
    <w:rsid w:val="00B92F71"/>
    <w:rsid w:val="00B93ED9"/>
    <w:rsid w:val="00B9449C"/>
    <w:rsid w:val="00B944C5"/>
    <w:rsid w:val="00B94639"/>
    <w:rsid w:val="00B94788"/>
    <w:rsid w:val="00B94AA0"/>
    <w:rsid w:val="00B952EF"/>
    <w:rsid w:val="00B956F7"/>
    <w:rsid w:val="00B96CDB"/>
    <w:rsid w:val="00B97B50"/>
    <w:rsid w:val="00BA05F0"/>
    <w:rsid w:val="00BA0A42"/>
    <w:rsid w:val="00BA157F"/>
    <w:rsid w:val="00BA1902"/>
    <w:rsid w:val="00BA1A35"/>
    <w:rsid w:val="00BA1AF7"/>
    <w:rsid w:val="00BA2DB6"/>
    <w:rsid w:val="00BA306D"/>
    <w:rsid w:val="00BA3357"/>
    <w:rsid w:val="00BA36A7"/>
    <w:rsid w:val="00BA3940"/>
    <w:rsid w:val="00BA45D2"/>
    <w:rsid w:val="00BA5D3A"/>
    <w:rsid w:val="00BA66EB"/>
    <w:rsid w:val="00BA7E37"/>
    <w:rsid w:val="00BA7FD5"/>
    <w:rsid w:val="00BB04EC"/>
    <w:rsid w:val="00BB056C"/>
    <w:rsid w:val="00BB0857"/>
    <w:rsid w:val="00BB08A6"/>
    <w:rsid w:val="00BB0EA9"/>
    <w:rsid w:val="00BB1797"/>
    <w:rsid w:val="00BB1901"/>
    <w:rsid w:val="00BB1987"/>
    <w:rsid w:val="00BB1F48"/>
    <w:rsid w:val="00BB2792"/>
    <w:rsid w:val="00BB2C5C"/>
    <w:rsid w:val="00BB4041"/>
    <w:rsid w:val="00BB4625"/>
    <w:rsid w:val="00BB4AA9"/>
    <w:rsid w:val="00BB4CA5"/>
    <w:rsid w:val="00BB5437"/>
    <w:rsid w:val="00BB6AF5"/>
    <w:rsid w:val="00BB6B37"/>
    <w:rsid w:val="00BC0089"/>
    <w:rsid w:val="00BC0884"/>
    <w:rsid w:val="00BC14C2"/>
    <w:rsid w:val="00BC14EF"/>
    <w:rsid w:val="00BC186E"/>
    <w:rsid w:val="00BC1AC8"/>
    <w:rsid w:val="00BC1F99"/>
    <w:rsid w:val="00BC23A8"/>
    <w:rsid w:val="00BC257F"/>
    <w:rsid w:val="00BC2EE3"/>
    <w:rsid w:val="00BC30CD"/>
    <w:rsid w:val="00BC3463"/>
    <w:rsid w:val="00BC4DFB"/>
    <w:rsid w:val="00BC4F04"/>
    <w:rsid w:val="00BC5017"/>
    <w:rsid w:val="00BC54A3"/>
    <w:rsid w:val="00BC5CF7"/>
    <w:rsid w:val="00BC63B7"/>
    <w:rsid w:val="00BC655F"/>
    <w:rsid w:val="00BC6984"/>
    <w:rsid w:val="00BC6DCB"/>
    <w:rsid w:val="00BC75D5"/>
    <w:rsid w:val="00BC7696"/>
    <w:rsid w:val="00BC7B9B"/>
    <w:rsid w:val="00BC7D1B"/>
    <w:rsid w:val="00BC7DA2"/>
    <w:rsid w:val="00BD02B1"/>
    <w:rsid w:val="00BD0465"/>
    <w:rsid w:val="00BD0792"/>
    <w:rsid w:val="00BD0C81"/>
    <w:rsid w:val="00BD11A6"/>
    <w:rsid w:val="00BD158D"/>
    <w:rsid w:val="00BD1E86"/>
    <w:rsid w:val="00BD23E0"/>
    <w:rsid w:val="00BD2460"/>
    <w:rsid w:val="00BD2ED5"/>
    <w:rsid w:val="00BD33C0"/>
    <w:rsid w:val="00BD33C1"/>
    <w:rsid w:val="00BD3AA8"/>
    <w:rsid w:val="00BD3C5C"/>
    <w:rsid w:val="00BD3F76"/>
    <w:rsid w:val="00BD45B8"/>
    <w:rsid w:val="00BD4B2A"/>
    <w:rsid w:val="00BD51B9"/>
    <w:rsid w:val="00BD60D8"/>
    <w:rsid w:val="00BD62DB"/>
    <w:rsid w:val="00BD6ABA"/>
    <w:rsid w:val="00BD6D13"/>
    <w:rsid w:val="00BD717D"/>
    <w:rsid w:val="00BD7431"/>
    <w:rsid w:val="00BE02C5"/>
    <w:rsid w:val="00BE043B"/>
    <w:rsid w:val="00BE2218"/>
    <w:rsid w:val="00BE2B50"/>
    <w:rsid w:val="00BE2C22"/>
    <w:rsid w:val="00BE3BFE"/>
    <w:rsid w:val="00BE4082"/>
    <w:rsid w:val="00BE4354"/>
    <w:rsid w:val="00BE4C0D"/>
    <w:rsid w:val="00BE528D"/>
    <w:rsid w:val="00BE5E40"/>
    <w:rsid w:val="00BE6390"/>
    <w:rsid w:val="00BE666B"/>
    <w:rsid w:val="00BE66F4"/>
    <w:rsid w:val="00BE69A1"/>
    <w:rsid w:val="00BE6C62"/>
    <w:rsid w:val="00BE7881"/>
    <w:rsid w:val="00BE7D87"/>
    <w:rsid w:val="00BF008F"/>
    <w:rsid w:val="00BF00FB"/>
    <w:rsid w:val="00BF0636"/>
    <w:rsid w:val="00BF0B72"/>
    <w:rsid w:val="00BF1DB4"/>
    <w:rsid w:val="00BF2345"/>
    <w:rsid w:val="00BF28BF"/>
    <w:rsid w:val="00BF2A0E"/>
    <w:rsid w:val="00BF2B88"/>
    <w:rsid w:val="00BF37D0"/>
    <w:rsid w:val="00BF3C76"/>
    <w:rsid w:val="00BF432F"/>
    <w:rsid w:val="00BF460C"/>
    <w:rsid w:val="00BF4C29"/>
    <w:rsid w:val="00BF53C0"/>
    <w:rsid w:val="00BF583F"/>
    <w:rsid w:val="00BF6FB6"/>
    <w:rsid w:val="00BF7348"/>
    <w:rsid w:val="00BF7F07"/>
    <w:rsid w:val="00BF7FF9"/>
    <w:rsid w:val="00C000FA"/>
    <w:rsid w:val="00C00377"/>
    <w:rsid w:val="00C00645"/>
    <w:rsid w:val="00C006F8"/>
    <w:rsid w:val="00C00B7E"/>
    <w:rsid w:val="00C00C8F"/>
    <w:rsid w:val="00C00F56"/>
    <w:rsid w:val="00C0153F"/>
    <w:rsid w:val="00C01DC7"/>
    <w:rsid w:val="00C02063"/>
    <w:rsid w:val="00C02AD8"/>
    <w:rsid w:val="00C0370D"/>
    <w:rsid w:val="00C03D33"/>
    <w:rsid w:val="00C0459A"/>
    <w:rsid w:val="00C04A2A"/>
    <w:rsid w:val="00C04A88"/>
    <w:rsid w:val="00C04AC3"/>
    <w:rsid w:val="00C04F8E"/>
    <w:rsid w:val="00C056FC"/>
    <w:rsid w:val="00C05797"/>
    <w:rsid w:val="00C059FA"/>
    <w:rsid w:val="00C05CA7"/>
    <w:rsid w:val="00C0797B"/>
    <w:rsid w:val="00C079C9"/>
    <w:rsid w:val="00C10F63"/>
    <w:rsid w:val="00C1119D"/>
    <w:rsid w:val="00C11A60"/>
    <w:rsid w:val="00C12457"/>
    <w:rsid w:val="00C12648"/>
    <w:rsid w:val="00C12CB6"/>
    <w:rsid w:val="00C12E43"/>
    <w:rsid w:val="00C12EF5"/>
    <w:rsid w:val="00C13BBB"/>
    <w:rsid w:val="00C1454D"/>
    <w:rsid w:val="00C14932"/>
    <w:rsid w:val="00C14A82"/>
    <w:rsid w:val="00C14E36"/>
    <w:rsid w:val="00C14FD5"/>
    <w:rsid w:val="00C15E8F"/>
    <w:rsid w:val="00C163E8"/>
    <w:rsid w:val="00C16E13"/>
    <w:rsid w:val="00C16F6E"/>
    <w:rsid w:val="00C17070"/>
    <w:rsid w:val="00C17138"/>
    <w:rsid w:val="00C173A3"/>
    <w:rsid w:val="00C176BB"/>
    <w:rsid w:val="00C17AD4"/>
    <w:rsid w:val="00C20270"/>
    <w:rsid w:val="00C204FE"/>
    <w:rsid w:val="00C20CA5"/>
    <w:rsid w:val="00C20F1C"/>
    <w:rsid w:val="00C20F91"/>
    <w:rsid w:val="00C21169"/>
    <w:rsid w:val="00C2116A"/>
    <w:rsid w:val="00C211B6"/>
    <w:rsid w:val="00C21277"/>
    <w:rsid w:val="00C2263F"/>
    <w:rsid w:val="00C22A6E"/>
    <w:rsid w:val="00C22B46"/>
    <w:rsid w:val="00C22D64"/>
    <w:rsid w:val="00C2347C"/>
    <w:rsid w:val="00C23B17"/>
    <w:rsid w:val="00C23C64"/>
    <w:rsid w:val="00C23EFB"/>
    <w:rsid w:val="00C2559E"/>
    <w:rsid w:val="00C25CC2"/>
    <w:rsid w:val="00C2636B"/>
    <w:rsid w:val="00C267C3"/>
    <w:rsid w:val="00C268CD"/>
    <w:rsid w:val="00C26F9D"/>
    <w:rsid w:val="00C30727"/>
    <w:rsid w:val="00C30C7B"/>
    <w:rsid w:val="00C30ED4"/>
    <w:rsid w:val="00C315B7"/>
    <w:rsid w:val="00C31AC3"/>
    <w:rsid w:val="00C31EEC"/>
    <w:rsid w:val="00C32154"/>
    <w:rsid w:val="00C3322A"/>
    <w:rsid w:val="00C33285"/>
    <w:rsid w:val="00C3340C"/>
    <w:rsid w:val="00C3462C"/>
    <w:rsid w:val="00C34F6E"/>
    <w:rsid w:val="00C352E3"/>
    <w:rsid w:val="00C357E2"/>
    <w:rsid w:val="00C35A09"/>
    <w:rsid w:val="00C35D27"/>
    <w:rsid w:val="00C36ECE"/>
    <w:rsid w:val="00C3736D"/>
    <w:rsid w:val="00C3770D"/>
    <w:rsid w:val="00C37A6B"/>
    <w:rsid w:val="00C408B9"/>
    <w:rsid w:val="00C40976"/>
    <w:rsid w:val="00C40D46"/>
    <w:rsid w:val="00C41017"/>
    <w:rsid w:val="00C410AA"/>
    <w:rsid w:val="00C411F1"/>
    <w:rsid w:val="00C41263"/>
    <w:rsid w:val="00C41523"/>
    <w:rsid w:val="00C415FA"/>
    <w:rsid w:val="00C41A31"/>
    <w:rsid w:val="00C42269"/>
    <w:rsid w:val="00C422BC"/>
    <w:rsid w:val="00C423F6"/>
    <w:rsid w:val="00C429BC"/>
    <w:rsid w:val="00C42B02"/>
    <w:rsid w:val="00C42F7D"/>
    <w:rsid w:val="00C43C24"/>
    <w:rsid w:val="00C444BB"/>
    <w:rsid w:val="00C444E9"/>
    <w:rsid w:val="00C447C1"/>
    <w:rsid w:val="00C449B2"/>
    <w:rsid w:val="00C44A2F"/>
    <w:rsid w:val="00C45018"/>
    <w:rsid w:val="00C45344"/>
    <w:rsid w:val="00C45374"/>
    <w:rsid w:val="00C45725"/>
    <w:rsid w:val="00C457B5"/>
    <w:rsid w:val="00C45D42"/>
    <w:rsid w:val="00C4694C"/>
    <w:rsid w:val="00C47110"/>
    <w:rsid w:val="00C47961"/>
    <w:rsid w:val="00C502C3"/>
    <w:rsid w:val="00C50977"/>
    <w:rsid w:val="00C51848"/>
    <w:rsid w:val="00C518D9"/>
    <w:rsid w:val="00C51CE3"/>
    <w:rsid w:val="00C52836"/>
    <w:rsid w:val="00C52A3A"/>
    <w:rsid w:val="00C52DEE"/>
    <w:rsid w:val="00C52DFC"/>
    <w:rsid w:val="00C52FC2"/>
    <w:rsid w:val="00C5442E"/>
    <w:rsid w:val="00C548EB"/>
    <w:rsid w:val="00C54964"/>
    <w:rsid w:val="00C54E66"/>
    <w:rsid w:val="00C54EF2"/>
    <w:rsid w:val="00C5542E"/>
    <w:rsid w:val="00C5567D"/>
    <w:rsid w:val="00C563D0"/>
    <w:rsid w:val="00C56563"/>
    <w:rsid w:val="00C56BD1"/>
    <w:rsid w:val="00C57C1B"/>
    <w:rsid w:val="00C60251"/>
    <w:rsid w:val="00C604C2"/>
    <w:rsid w:val="00C613B7"/>
    <w:rsid w:val="00C61727"/>
    <w:rsid w:val="00C61AAB"/>
    <w:rsid w:val="00C61ED2"/>
    <w:rsid w:val="00C62989"/>
    <w:rsid w:val="00C631F0"/>
    <w:rsid w:val="00C63E15"/>
    <w:rsid w:val="00C63E9A"/>
    <w:rsid w:val="00C63ED3"/>
    <w:rsid w:val="00C644A3"/>
    <w:rsid w:val="00C65703"/>
    <w:rsid w:val="00C65757"/>
    <w:rsid w:val="00C65DB2"/>
    <w:rsid w:val="00C6609F"/>
    <w:rsid w:val="00C66C37"/>
    <w:rsid w:val="00C66D6D"/>
    <w:rsid w:val="00C6702C"/>
    <w:rsid w:val="00C67092"/>
    <w:rsid w:val="00C67EF1"/>
    <w:rsid w:val="00C704C2"/>
    <w:rsid w:val="00C70539"/>
    <w:rsid w:val="00C712AB"/>
    <w:rsid w:val="00C7179A"/>
    <w:rsid w:val="00C71BA0"/>
    <w:rsid w:val="00C724AA"/>
    <w:rsid w:val="00C728E5"/>
    <w:rsid w:val="00C72B54"/>
    <w:rsid w:val="00C72C9F"/>
    <w:rsid w:val="00C73669"/>
    <w:rsid w:val="00C73684"/>
    <w:rsid w:val="00C7387A"/>
    <w:rsid w:val="00C73ABA"/>
    <w:rsid w:val="00C74A81"/>
    <w:rsid w:val="00C74F76"/>
    <w:rsid w:val="00C7513D"/>
    <w:rsid w:val="00C752E0"/>
    <w:rsid w:val="00C75447"/>
    <w:rsid w:val="00C755CD"/>
    <w:rsid w:val="00C757E3"/>
    <w:rsid w:val="00C75896"/>
    <w:rsid w:val="00C76111"/>
    <w:rsid w:val="00C76447"/>
    <w:rsid w:val="00C76818"/>
    <w:rsid w:val="00C76B86"/>
    <w:rsid w:val="00C76F47"/>
    <w:rsid w:val="00C77664"/>
    <w:rsid w:val="00C77784"/>
    <w:rsid w:val="00C80510"/>
    <w:rsid w:val="00C809B2"/>
    <w:rsid w:val="00C809EC"/>
    <w:rsid w:val="00C810AF"/>
    <w:rsid w:val="00C81715"/>
    <w:rsid w:val="00C82535"/>
    <w:rsid w:val="00C82603"/>
    <w:rsid w:val="00C82A11"/>
    <w:rsid w:val="00C8392A"/>
    <w:rsid w:val="00C84070"/>
    <w:rsid w:val="00C84CB3"/>
    <w:rsid w:val="00C85136"/>
    <w:rsid w:val="00C86551"/>
    <w:rsid w:val="00C86F69"/>
    <w:rsid w:val="00C87B04"/>
    <w:rsid w:val="00C90432"/>
    <w:rsid w:val="00C9120C"/>
    <w:rsid w:val="00C91505"/>
    <w:rsid w:val="00C91872"/>
    <w:rsid w:val="00C91DCD"/>
    <w:rsid w:val="00C91F5B"/>
    <w:rsid w:val="00C92583"/>
    <w:rsid w:val="00C92F06"/>
    <w:rsid w:val="00C936D6"/>
    <w:rsid w:val="00C938B6"/>
    <w:rsid w:val="00C93AB0"/>
    <w:rsid w:val="00C942E5"/>
    <w:rsid w:val="00C95505"/>
    <w:rsid w:val="00C958E0"/>
    <w:rsid w:val="00C95CB4"/>
    <w:rsid w:val="00C964D3"/>
    <w:rsid w:val="00C96972"/>
    <w:rsid w:val="00C97E5C"/>
    <w:rsid w:val="00C97E8D"/>
    <w:rsid w:val="00C97FE2"/>
    <w:rsid w:val="00CA06F4"/>
    <w:rsid w:val="00CA096D"/>
    <w:rsid w:val="00CA0F84"/>
    <w:rsid w:val="00CA10C5"/>
    <w:rsid w:val="00CA123B"/>
    <w:rsid w:val="00CA18CA"/>
    <w:rsid w:val="00CA1C6E"/>
    <w:rsid w:val="00CA1ED2"/>
    <w:rsid w:val="00CA1FD0"/>
    <w:rsid w:val="00CA2632"/>
    <w:rsid w:val="00CA27BC"/>
    <w:rsid w:val="00CA2D79"/>
    <w:rsid w:val="00CA31D7"/>
    <w:rsid w:val="00CA3ACB"/>
    <w:rsid w:val="00CA3CBE"/>
    <w:rsid w:val="00CA4979"/>
    <w:rsid w:val="00CA6E23"/>
    <w:rsid w:val="00CB0784"/>
    <w:rsid w:val="00CB0E11"/>
    <w:rsid w:val="00CB1537"/>
    <w:rsid w:val="00CB16F8"/>
    <w:rsid w:val="00CB2C31"/>
    <w:rsid w:val="00CB2E86"/>
    <w:rsid w:val="00CB3056"/>
    <w:rsid w:val="00CB31A7"/>
    <w:rsid w:val="00CB35E8"/>
    <w:rsid w:val="00CB35EA"/>
    <w:rsid w:val="00CB36BA"/>
    <w:rsid w:val="00CB3A63"/>
    <w:rsid w:val="00CB4E11"/>
    <w:rsid w:val="00CB5A01"/>
    <w:rsid w:val="00CB5B78"/>
    <w:rsid w:val="00CB5BFF"/>
    <w:rsid w:val="00CB6047"/>
    <w:rsid w:val="00CB647B"/>
    <w:rsid w:val="00CB665B"/>
    <w:rsid w:val="00CB669F"/>
    <w:rsid w:val="00CB7159"/>
    <w:rsid w:val="00CB783B"/>
    <w:rsid w:val="00CC0513"/>
    <w:rsid w:val="00CC0AF9"/>
    <w:rsid w:val="00CC2A94"/>
    <w:rsid w:val="00CC2F5A"/>
    <w:rsid w:val="00CC331F"/>
    <w:rsid w:val="00CC35C4"/>
    <w:rsid w:val="00CC3635"/>
    <w:rsid w:val="00CC3A0C"/>
    <w:rsid w:val="00CC404D"/>
    <w:rsid w:val="00CC45FB"/>
    <w:rsid w:val="00CC4A06"/>
    <w:rsid w:val="00CC4DA5"/>
    <w:rsid w:val="00CC4F04"/>
    <w:rsid w:val="00CC511C"/>
    <w:rsid w:val="00CC6589"/>
    <w:rsid w:val="00CC68BE"/>
    <w:rsid w:val="00CC7A28"/>
    <w:rsid w:val="00CD0015"/>
    <w:rsid w:val="00CD006F"/>
    <w:rsid w:val="00CD0654"/>
    <w:rsid w:val="00CD071E"/>
    <w:rsid w:val="00CD0C0A"/>
    <w:rsid w:val="00CD133D"/>
    <w:rsid w:val="00CD16BF"/>
    <w:rsid w:val="00CD17E6"/>
    <w:rsid w:val="00CD1DC7"/>
    <w:rsid w:val="00CD2ED2"/>
    <w:rsid w:val="00CD322D"/>
    <w:rsid w:val="00CD3A49"/>
    <w:rsid w:val="00CD3BB9"/>
    <w:rsid w:val="00CD3E3B"/>
    <w:rsid w:val="00CD3F7A"/>
    <w:rsid w:val="00CD43C8"/>
    <w:rsid w:val="00CD4BF0"/>
    <w:rsid w:val="00CD52B1"/>
    <w:rsid w:val="00CD552D"/>
    <w:rsid w:val="00CD555F"/>
    <w:rsid w:val="00CD5623"/>
    <w:rsid w:val="00CD5B32"/>
    <w:rsid w:val="00CD5FBE"/>
    <w:rsid w:val="00CD6F2F"/>
    <w:rsid w:val="00CD72C3"/>
    <w:rsid w:val="00CD7FA3"/>
    <w:rsid w:val="00CD7FC5"/>
    <w:rsid w:val="00CE027F"/>
    <w:rsid w:val="00CE05C2"/>
    <w:rsid w:val="00CE0923"/>
    <w:rsid w:val="00CE0CCA"/>
    <w:rsid w:val="00CE1CE5"/>
    <w:rsid w:val="00CE22AD"/>
    <w:rsid w:val="00CE26BA"/>
    <w:rsid w:val="00CE275B"/>
    <w:rsid w:val="00CE2B3F"/>
    <w:rsid w:val="00CE2E8E"/>
    <w:rsid w:val="00CE310C"/>
    <w:rsid w:val="00CE3183"/>
    <w:rsid w:val="00CE3478"/>
    <w:rsid w:val="00CE44F2"/>
    <w:rsid w:val="00CE4FB6"/>
    <w:rsid w:val="00CE5154"/>
    <w:rsid w:val="00CE51D7"/>
    <w:rsid w:val="00CE5467"/>
    <w:rsid w:val="00CE5737"/>
    <w:rsid w:val="00CE60DE"/>
    <w:rsid w:val="00CE63EC"/>
    <w:rsid w:val="00CE67F2"/>
    <w:rsid w:val="00CE6E1D"/>
    <w:rsid w:val="00CE7D05"/>
    <w:rsid w:val="00CF08E0"/>
    <w:rsid w:val="00CF09A7"/>
    <w:rsid w:val="00CF0B10"/>
    <w:rsid w:val="00CF13BA"/>
    <w:rsid w:val="00CF1BEA"/>
    <w:rsid w:val="00CF1CE9"/>
    <w:rsid w:val="00CF23F1"/>
    <w:rsid w:val="00CF2EF5"/>
    <w:rsid w:val="00CF3578"/>
    <w:rsid w:val="00CF3A1A"/>
    <w:rsid w:val="00CF3AFE"/>
    <w:rsid w:val="00CF3C96"/>
    <w:rsid w:val="00CF494F"/>
    <w:rsid w:val="00CF5103"/>
    <w:rsid w:val="00CF5371"/>
    <w:rsid w:val="00CF59CF"/>
    <w:rsid w:val="00CF650F"/>
    <w:rsid w:val="00CF69F2"/>
    <w:rsid w:val="00D002A2"/>
    <w:rsid w:val="00D0094E"/>
    <w:rsid w:val="00D01048"/>
    <w:rsid w:val="00D01073"/>
    <w:rsid w:val="00D010CE"/>
    <w:rsid w:val="00D010E2"/>
    <w:rsid w:val="00D0251E"/>
    <w:rsid w:val="00D028CC"/>
    <w:rsid w:val="00D03077"/>
    <w:rsid w:val="00D0370B"/>
    <w:rsid w:val="00D04FE2"/>
    <w:rsid w:val="00D05326"/>
    <w:rsid w:val="00D059C4"/>
    <w:rsid w:val="00D05AD0"/>
    <w:rsid w:val="00D065D2"/>
    <w:rsid w:val="00D0685C"/>
    <w:rsid w:val="00D07529"/>
    <w:rsid w:val="00D10CBE"/>
    <w:rsid w:val="00D11194"/>
    <w:rsid w:val="00D1119F"/>
    <w:rsid w:val="00D11296"/>
    <w:rsid w:val="00D11915"/>
    <w:rsid w:val="00D11983"/>
    <w:rsid w:val="00D11C81"/>
    <w:rsid w:val="00D121F9"/>
    <w:rsid w:val="00D122BC"/>
    <w:rsid w:val="00D12B12"/>
    <w:rsid w:val="00D12E7B"/>
    <w:rsid w:val="00D13AB1"/>
    <w:rsid w:val="00D14044"/>
    <w:rsid w:val="00D14303"/>
    <w:rsid w:val="00D147E1"/>
    <w:rsid w:val="00D14B7D"/>
    <w:rsid w:val="00D14EA6"/>
    <w:rsid w:val="00D151B0"/>
    <w:rsid w:val="00D16CCA"/>
    <w:rsid w:val="00D1716F"/>
    <w:rsid w:val="00D17623"/>
    <w:rsid w:val="00D17EC2"/>
    <w:rsid w:val="00D203B1"/>
    <w:rsid w:val="00D213CB"/>
    <w:rsid w:val="00D215B5"/>
    <w:rsid w:val="00D22AB8"/>
    <w:rsid w:val="00D22C77"/>
    <w:rsid w:val="00D22D93"/>
    <w:rsid w:val="00D246E5"/>
    <w:rsid w:val="00D24D7F"/>
    <w:rsid w:val="00D24DF4"/>
    <w:rsid w:val="00D25544"/>
    <w:rsid w:val="00D259C2"/>
    <w:rsid w:val="00D26095"/>
    <w:rsid w:val="00D26CAE"/>
    <w:rsid w:val="00D26FFF"/>
    <w:rsid w:val="00D277D2"/>
    <w:rsid w:val="00D27A5B"/>
    <w:rsid w:val="00D308A6"/>
    <w:rsid w:val="00D31C72"/>
    <w:rsid w:val="00D31DEC"/>
    <w:rsid w:val="00D3246E"/>
    <w:rsid w:val="00D327D1"/>
    <w:rsid w:val="00D33493"/>
    <w:rsid w:val="00D34112"/>
    <w:rsid w:val="00D35055"/>
    <w:rsid w:val="00D3554D"/>
    <w:rsid w:val="00D355D7"/>
    <w:rsid w:val="00D35B9C"/>
    <w:rsid w:val="00D362AB"/>
    <w:rsid w:val="00D362C5"/>
    <w:rsid w:val="00D36605"/>
    <w:rsid w:val="00D36857"/>
    <w:rsid w:val="00D36AFA"/>
    <w:rsid w:val="00D370FD"/>
    <w:rsid w:val="00D40075"/>
    <w:rsid w:val="00D40719"/>
    <w:rsid w:val="00D413E0"/>
    <w:rsid w:val="00D415A6"/>
    <w:rsid w:val="00D417B2"/>
    <w:rsid w:val="00D4189D"/>
    <w:rsid w:val="00D418CA"/>
    <w:rsid w:val="00D41E7B"/>
    <w:rsid w:val="00D41F55"/>
    <w:rsid w:val="00D42302"/>
    <w:rsid w:val="00D43021"/>
    <w:rsid w:val="00D438B2"/>
    <w:rsid w:val="00D43A2E"/>
    <w:rsid w:val="00D43A4F"/>
    <w:rsid w:val="00D44422"/>
    <w:rsid w:val="00D44802"/>
    <w:rsid w:val="00D449ED"/>
    <w:rsid w:val="00D453BF"/>
    <w:rsid w:val="00D45847"/>
    <w:rsid w:val="00D45B5E"/>
    <w:rsid w:val="00D45E5D"/>
    <w:rsid w:val="00D468A1"/>
    <w:rsid w:val="00D468DB"/>
    <w:rsid w:val="00D46BC6"/>
    <w:rsid w:val="00D46D4E"/>
    <w:rsid w:val="00D46FD1"/>
    <w:rsid w:val="00D476D6"/>
    <w:rsid w:val="00D47A29"/>
    <w:rsid w:val="00D5008A"/>
    <w:rsid w:val="00D5108B"/>
    <w:rsid w:val="00D51AC6"/>
    <w:rsid w:val="00D51BC7"/>
    <w:rsid w:val="00D52066"/>
    <w:rsid w:val="00D52143"/>
    <w:rsid w:val="00D5260E"/>
    <w:rsid w:val="00D52C7B"/>
    <w:rsid w:val="00D53335"/>
    <w:rsid w:val="00D536D0"/>
    <w:rsid w:val="00D53E57"/>
    <w:rsid w:val="00D542E2"/>
    <w:rsid w:val="00D5527A"/>
    <w:rsid w:val="00D556E0"/>
    <w:rsid w:val="00D56EBC"/>
    <w:rsid w:val="00D56EE0"/>
    <w:rsid w:val="00D57388"/>
    <w:rsid w:val="00D5740A"/>
    <w:rsid w:val="00D577A4"/>
    <w:rsid w:val="00D57869"/>
    <w:rsid w:val="00D579D0"/>
    <w:rsid w:val="00D60227"/>
    <w:rsid w:val="00D604E2"/>
    <w:rsid w:val="00D60FD2"/>
    <w:rsid w:val="00D612D3"/>
    <w:rsid w:val="00D61469"/>
    <w:rsid w:val="00D618B3"/>
    <w:rsid w:val="00D6276E"/>
    <w:rsid w:val="00D62C14"/>
    <w:rsid w:val="00D6337F"/>
    <w:rsid w:val="00D63F8C"/>
    <w:rsid w:val="00D64045"/>
    <w:rsid w:val="00D640FA"/>
    <w:rsid w:val="00D645AB"/>
    <w:rsid w:val="00D646D8"/>
    <w:rsid w:val="00D6479E"/>
    <w:rsid w:val="00D647A2"/>
    <w:rsid w:val="00D648E2"/>
    <w:rsid w:val="00D64B0D"/>
    <w:rsid w:val="00D661E4"/>
    <w:rsid w:val="00D66D5C"/>
    <w:rsid w:val="00D67362"/>
    <w:rsid w:val="00D6798E"/>
    <w:rsid w:val="00D679FB"/>
    <w:rsid w:val="00D67B8D"/>
    <w:rsid w:val="00D70564"/>
    <w:rsid w:val="00D7123D"/>
    <w:rsid w:val="00D71DC2"/>
    <w:rsid w:val="00D71E8D"/>
    <w:rsid w:val="00D71F73"/>
    <w:rsid w:val="00D722EB"/>
    <w:rsid w:val="00D7263E"/>
    <w:rsid w:val="00D731A1"/>
    <w:rsid w:val="00D73E12"/>
    <w:rsid w:val="00D743F8"/>
    <w:rsid w:val="00D74898"/>
    <w:rsid w:val="00D74A8F"/>
    <w:rsid w:val="00D751AC"/>
    <w:rsid w:val="00D75387"/>
    <w:rsid w:val="00D75CE1"/>
    <w:rsid w:val="00D75D12"/>
    <w:rsid w:val="00D75E1E"/>
    <w:rsid w:val="00D767EB"/>
    <w:rsid w:val="00D77830"/>
    <w:rsid w:val="00D77EA6"/>
    <w:rsid w:val="00D80036"/>
    <w:rsid w:val="00D801C9"/>
    <w:rsid w:val="00D80A02"/>
    <w:rsid w:val="00D80BE0"/>
    <w:rsid w:val="00D81018"/>
    <w:rsid w:val="00D81142"/>
    <w:rsid w:val="00D81332"/>
    <w:rsid w:val="00D8172E"/>
    <w:rsid w:val="00D81BC4"/>
    <w:rsid w:val="00D81D97"/>
    <w:rsid w:val="00D81E73"/>
    <w:rsid w:val="00D825FF"/>
    <w:rsid w:val="00D82CB6"/>
    <w:rsid w:val="00D83AA1"/>
    <w:rsid w:val="00D84364"/>
    <w:rsid w:val="00D84DDF"/>
    <w:rsid w:val="00D85582"/>
    <w:rsid w:val="00D856E0"/>
    <w:rsid w:val="00D85B89"/>
    <w:rsid w:val="00D8687C"/>
    <w:rsid w:val="00D87AE6"/>
    <w:rsid w:val="00D87DF1"/>
    <w:rsid w:val="00D87EA1"/>
    <w:rsid w:val="00D9025E"/>
    <w:rsid w:val="00D91401"/>
    <w:rsid w:val="00D925E5"/>
    <w:rsid w:val="00D928D1"/>
    <w:rsid w:val="00D935B3"/>
    <w:rsid w:val="00D93AE6"/>
    <w:rsid w:val="00D93B72"/>
    <w:rsid w:val="00D93E12"/>
    <w:rsid w:val="00D9496A"/>
    <w:rsid w:val="00D94BB3"/>
    <w:rsid w:val="00D94C28"/>
    <w:rsid w:val="00D94EBD"/>
    <w:rsid w:val="00D95264"/>
    <w:rsid w:val="00D9568E"/>
    <w:rsid w:val="00D96119"/>
    <w:rsid w:val="00D96B48"/>
    <w:rsid w:val="00D96F3E"/>
    <w:rsid w:val="00D9780C"/>
    <w:rsid w:val="00D97AD8"/>
    <w:rsid w:val="00D97B8C"/>
    <w:rsid w:val="00DA1608"/>
    <w:rsid w:val="00DA1A31"/>
    <w:rsid w:val="00DA207D"/>
    <w:rsid w:val="00DA2267"/>
    <w:rsid w:val="00DA2437"/>
    <w:rsid w:val="00DA2702"/>
    <w:rsid w:val="00DA27D1"/>
    <w:rsid w:val="00DA3316"/>
    <w:rsid w:val="00DA422E"/>
    <w:rsid w:val="00DA49E6"/>
    <w:rsid w:val="00DA54A7"/>
    <w:rsid w:val="00DA5539"/>
    <w:rsid w:val="00DA73B4"/>
    <w:rsid w:val="00DA7F24"/>
    <w:rsid w:val="00DB01F2"/>
    <w:rsid w:val="00DB07BF"/>
    <w:rsid w:val="00DB07E2"/>
    <w:rsid w:val="00DB082F"/>
    <w:rsid w:val="00DB1594"/>
    <w:rsid w:val="00DB1C03"/>
    <w:rsid w:val="00DB1CF9"/>
    <w:rsid w:val="00DB1EC0"/>
    <w:rsid w:val="00DB1FAB"/>
    <w:rsid w:val="00DB2328"/>
    <w:rsid w:val="00DB2507"/>
    <w:rsid w:val="00DB332E"/>
    <w:rsid w:val="00DB3F25"/>
    <w:rsid w:val="00DB3F49"/>
    <w:rsid w:val="00DB4255"/>
    <w:rsid w:val="00DB44E4"/>
    <w:rsid w:val="00DB46CF"/>
    <w:rsid w:val="00DB503F"/>
    <w:rsid w:val="00DB6BEC"/>
    <w:rsid w:val="00DB7070"/>
    <w:rsid w:val="00DB7C22"/>
    <w:rsid w:val="00DC0573"/>
    <w:rsid w:val="00DC09E1"/>
    <w:rsid w:val="00DC1029"/>
    <w:rsid w:val="00DC11B1"/>
    <w:rsid w:val="00DC1422"/>
    <w:rsid w:val="00DC1BAE"/>
    <w:rsid w:val="00DC1DF2"/>
    <w:rsid w:val="00DC2690"/>
    <w:rsid w:val="00DC2D6B"/>
    <w:rsid w:val="00DC35A0"/>
    <w:rsid w:val="00DC3692"/>
    <w:rsid w:val="00DC37FA"/>
    <w:rsid w:val="00DC46C9"/>
    <w:rsid w:val="00DC4A8D"/>
    <w:rsid w:val="00DC4F4B"/>
    <w:rsid w:val="00DC5248"/>
    <w:rsid w:val="00DC52D7"/>
    <w:rsid w:val="00DC555A"/>
    <w:rsid w:val="00DC5DCD"/>
    <w:rsid w:val="00DC634E"/>
    <w:rsid w:val="00DC6756"/>
    <w:rsid w:val="00DC6A57"/>
    <w:rsid w:val="00DC6C52"/>
    <w:rsid w:val="00DC71BA"/>
    <w:rsid w:val="00DC7EB7"/>
    <w:rsid w:val="00DD003F"/>
    <w:rsid w:val="00DD03F6"/>
    <w:rsid w:val="00DD0625"/>
    <w:rsid w:val="00DD0659"/>
    <w:rsid w:val="00DD0A47"/>
    <w:rsid w:val="00DD1B5B"/>
    <w:rsid w:val="00DD1B8B"/>
    <w:rsid w:val="00DD1C60"/>
    <w:rsid w:val="00DD2733"/>
    <w:rsid w:val="00DD2FDA"/>
    <w:rsid w:val="00DD34C2"/>
    <w:rsid w:val="00DD36AA"/>
    <w:rsid w:val="00DD4891"/>
    <w:rsid w:val="00DD4B66"/>
    <w:rsid w:val="00DD508D"/>
    <w:rsid w:val="00DD5A85"/>
    <w:rsid w:val="00DD5C6A"/>
    <w:rsid w:val="00DD5D16"/>
    <w:rsid w:val="00DD6DA7"/>
    <w:rsid w:val="00DD739D"/>
    <w:rsid w:val="00DD798A"/>
    <w:rsid w:val="00DE0498"/>
    <w:rsid w:val="00DE06FA"/>
    <w:rsid w:val="00DE0B66"/>
    <w:rsid w:val="00DE11B4"/>
    <w:rsid w:val="00DE17CF"/>
    <w:rsid w:val="00DE19F0"/>
    <w:rsid w:val="00DE1A71"/>
    <w:rsid w:val="00DE1E20"/>
    <w:rsid w:val="00DE24A3"/>
    <w:rsid w:val="00DE272F"/>
    <w:rsid w:val="00DE2860"/>
    <w:rsid w:val="00DE2C7D"/>
    <w:rsid w:val="00DE482E"/>
    <w:rsid w:val="00DE4DFA"/>
    <w:rsid w:val="00DE4F28"/>
    <w:rsid w:val="00DE5910"/>
    <w:rsid w:val="00DE5A55"/>
    <w:rsid w:val="00DE5F28"/>
    <w:rsid w:val="00DE6215"/>
    <w:rsid w:val="00DE686B"/>
    <w:rsid w:val="00DE7240"/>
    <w:rsid w:val="00DE7248"/>
    <w:rsid w:val="00DE7274"/>
    <w:rsid w:val="00DE759F"/>
    <w:rsid w:val="00DE7E0D"/>
    <w:rsid w:val="00DF00B2"/>
    <w:rsid w:val="00DF040F"/>
    <w:rsid w:val="00DF0725"/>
    <w:rsid w:val="00DF09FC"/>
    <w:rsid w:val="00DF0A0F"/>
    <w:rsid w:val="00DF38E5"/>
    <w:rsid w:val="00DF3ACC"/>
    <w:rsid w:val="00DF3F11"/>
    <w:rsid w:val="00DF3FF5"/>
    <w:rsid w:val="00DF40EF"/>
    <w:rsid w:val="00DF4A88"/>
    <w:rsid w:val="00DF5216"/>
    <w:rsid w:val="00DF56E9"/>
    <w:rsid w:val="00DF57F2"/>
    <w:rsid w:val="00DF61BA"/>
    <w:rsid w:val="00DF65B2"/>
    <w:rsid w:val="00DF6B38"/>
    <w:rsid w:val="00DF72F0"/>
    <w:rsid w:val="00DF7C85"/>
    <w:rsid w:val="00E0044C"/>
    <w:rsid w:val="00E01014"/>
    <w:rsid w:val="00E015C3"/>
    <w:rsid w:val="00E01E93"/>
    <w:rsid w:val="00E01EF3"/>
    <w:rsid w:val="00E0268B"/>
    <w:rsid w:val="00E02A36"/>
    <w:rsid w:val="00E03691"/>
    <w:rsid w:val="00E047AD"/>
    <w:rsid w:val="00E0496E"/>
    <w:rsid w:val="00E0567A"/>
    <w:rsid w:val="00E058DD"/>
    <w:rsid w:val="00E05CDF"/>
    <w:rsid w:val="00E076FB"/>
    <w:rsid w:val="00E0782A"/>
    <w:rsid w:val="00E07FA0"/>
    <w:rsid w:val="00E10074"/>
    <w:rsid w:val="00E10399"/>
    <w:rsid w:val="00E10507"/>
    <w:rsid w:val="00E10F38"/>
    <w:rsid w:val="00E11336"/>
    <w:rsid w:val="00E114F2"/>
    <w:rsid w:val="00E1198A"/>
    <w:rsid w:val="00E11AEC"/>
    <w:rsid w:val="00E11ECB"/>
    <w:rsid w:val="00E1263B"/>
    <w:rsid w:val="00E129CF"/>
    <w:rsid w:val="00E12C32"/>
    <w:rsid w:val="00E13182"/>
    <w:rsid w:val="00E1344F"/>
    <w:rsid w:val="00E13E73"/>
    <w:rsid w:val="00E14752"/>
    <w:rsid w:val="00E14E0A"/>
    <w:rsid w:val="00E15117"/>
    <w:rsid w:val="00E15167"/>
    <w:rsid w:val="00E162AA"/>
    <w:rsid w:val="00E163FC"/>
    <w:rsid w:val="00E16F95"/>
    <w:rsid w:val="00E17236"/>
    <w:rsid w:val="00E175E2"/>
    <w:rsid w:val="00E17A86"/>
    <w:rsid w:val="00E2030B"/>
    <w:rsid w:val="00E203E7"/>
    <w:rsid w:val="00E20BD6"/>
    <w:rsid w:val="00E230B6"/>
    <w:rsid w:val="00E230E2"/>
    <w:rsid w:val="00E2375F"/>
    <w:rsid w:val="00E23BA6"/>
    <w:rsid w:val="00E23C9F"/>
    <w:rsid w:val="00E2468D"/>
    <w:rsid w:val="00E246BA"/>
    <w:rsid w:val="00E2595C"/>
    <w:rsid w:val="00E2633C"/>
    <w:rsid w:val="00E26E3D"/>
    <w:rsid w:val="00E30047"/>
    <w:rsid w:val="00E30CD1"/>
    <w:rsid w:val="00E30DE9"/>
    <w:rsid w:val="00E319AE"/>
    <w:rsid w:val="00E31D17"/>
    <w:rsid w:val="00E31EE8"/>
    <w:rsid w:val="00E32323"/>
    <w:rsid w:val="00E32503"/>
    <w:rsid w:val="00E326BB"/>
    <w:rsid w:val="00E32D3B"/>
    <w:rsid w:val="00E33192"/>
    <w:rsid w:val="00E33392"/>
    <w:rsid w:val="00E335E3"/>
    <w:rsid w:val="00E33EDE"/>
    <w:rsid w:val="00E34523"/>
    <w:rsid w:val="00E3457C"/>
    <w:rsid w:val="00E34780"/>
    <w:rsid w:val="00E34A4F"/>
    <w:rsid w:val="00E35A13"/>
    <w:rsid w:val="00E35DBE"/>
    <w:rsid w:val="00E360E9"/>
    <w:rsid w:val="00E361AB"/>
    <w:rsid w:val="00E3620E"/>
    <w:rsid w:val="00E364DC"/>
    <w:rsid w:val="00E3653F"/>
    <w:rsid w:val="00E368D3"/>
    <w:rsid w:val="00E36A69"/>
    <w:rsid w:val="00E36E4F"/>
    <w:rsid w:val="00E40207"/>
    <w:rsid w:val="00E40274"/>
    <w:rsid w:val="00E4070E"/>
    <w:rsid w:val="00E409EF"/>
    <w:rsid w:val="00E414A7"/>
    <w:rsid w:val="00E414DF"/>
    <w:rsid w:val="00E4184A"/>
    <w:rsid w:val="00E41981"/>
    <w:rsid w:val="00E419EE"/>
    <w:rsid w:val="00E41AB2"/>
    <w:rsid w:val="00E41B1F"/>
    <w:rsid w:val="00E42103"/>
    <w:rsid w:val="00E42578"/>
    <w:rsid w:val="00E42E32"/>
    <w:rsid w:val="00E42F3D"/>
    <w:rsid w:val="00E42FB9"/>
    <w:rsid w:val="00E440F5"/>
    <w:rsid w:val="00E44216"/>
    <w:rsid w:val="00E44269"/>
    <w:rsid w:val="00E44581"/>
    <w:rsid w:val="00E45C5F"/>
    <w:rsid w:val="00E46118"/>
    <w:rsid w:val="00E473F9"/>
    <w:rsid w:val="00E47473"/>
    <w:rsid w:val="00E47806"/>
    <w:rsid w:val="00E505BC"/>
    <w:rsid w:val="00E508CC"/>
    <w:rsid w:val="00E50EF3"/>
    <w:rsid w:val="00E526A2"/>
    <w:rsid w:val="00E526E9"/>
    <w:rsid w:val="00E52CC8"/>
    <w:rsid w:val="00E53525"/>
    <w:rsid w:val="00E539EF"/>
    <w:rsid w:val="00E54A6A"/>
    <w:rsid w:val="00E5532D"/>
    <w:rsid w:val="00E553B5"/>
    <w:rsid w:val="00E55C60"/>
    <w:rsid w:val="00E55DCC"/>
    <w:rsid w:val="00E55E20"/>
    <w:rsid w:val="00E55FD6"/>
    <w:rsid w:val="00E5617E"/>
    <w:rsid w:val="00E567B3"/>
    <w:rsid w:val="00E56AFE"/>
    <w:rsid w:val="00E56CE1"/>
    <w:rsid w:val="00E56FD5"/>
    <w:rsid w:val="00E57101"/>
    <w:rsid w:val="00E57523"/>
    <w:rsid w:val="00E60238"/>
    <w:rsid w:val="00E604F7"/>
    <w:rsid w:val="00E60699"/>
    <w:rsid w:val="00E6071D"/>
    <w:rsid w:val="00E60E89"/>
    <w:rsid w:val="00E60FC3"/>
    <w:rsid w:val="00E610FD"/>
    <w:rsid w:val="00E61A9A"/>
    <w:rsid w:val="00E62274"/>
    <w:rsid w:val="00E62E64"/>
    <w:rsid w:val="00E64BD0"/>
    <w:rsid w:val="00E64DCA"/>
    <w:rsid w:val="00E65C82"/>
    <w:rsid w:val="00E66362"/>
    <w:rsid w:val="00E6643B"/>
    <w:rsid w:val="00E66C9E"/>
    <w:rsid w:val="00E70986"/>
    <w:rsid w:val="00E7100C"/>
    <w:rsid w:val="00E71856"/>
    <w:rsid w:val="00E719AD"/>
    <w:rsid w:val="00E724CA"/>
    <w:rsid w:val="00E72AA6"/>
    <w:rsid w:val="00E72AD6"/>
    <w:rsid w:val="00E73C15"/>
    <w:rsid w:val="00E73F0F"/>
    <w:rsid w:val="00E73F2E"/>
    <w:rsid w:val="00E741F0"/>
    <w:rsid w:val="00E74503"/>
    <w:rsid w:val="00E756D7"/>
    <w:rsid w:val="00E75B7A"/>
    <w:rsid w:val="00E76CBE"/>
    <w:rsid w:val="00E76D69"/>
    <w:rsid w:val="00E778A3"/>
    <w:rsid w:val="00E77933"/>
    <w:rsid w:val="00E7794B"/>
    <w:rsid w:val="00E77D15"/>
    <w:rsid w:val="00E80272"/>
    <w:rsid w:val="00E8090B"/>
    <w:rsid w:val="00E80DB3"/>
    <w:rsid w:val="00E80EBC"/>
    <w:rsid w:val="00E8151D"/>
    <w:rsid w:val="00E81D32"/>
    <w:rsid w:val="00E827CB"/>
    <w:rsid w:val="00E82855"/>
    <w:rsid w:val="00E82AF3"/>
    <w:rsid w:val="00E82B49"/>
    <w:rsid w:val="00E83DEC"/>
    <w:rsid w:val="00E85154"/>
    <w:rsid w:val="00E85769"/>
    <w:rsid w:val="00E85F5B"/>
    <w:rsid w:val="00E85F98"/>
    <w:rsid w:val="00E85FCA"/>
    <w:rsid w:val="00E860B4"/>
    <w:rsid w:val="00E86961"/>
    <w:rsid w:val="00E872F9"/>
    <w:rsid w:val="00E87DE1"/>
    <w:rsid w:val="00E90265"/>
    <w:rsid w:val="00E90A3F"/>
    <w:rsid w:val="00E91E92"/>
    <w:rsid w:val="00E9218A"/>
    <w:rsid w:val="00E92540"/>
    <w:rsid w:val="00E936EB"/>
    <w:rsid w:val="00E947E4"/>
    <w:rsid w:val="00E94ACF"/>
    <w:rsid w:val="00E9510F"/>
    <w:rsid w:val="00E9570B"/>
    <w:rsid w:val="00E96E62"/>
    <w:rsid w:val="00E97C70"/>
    <w:rsid w:val="00E97DBC"/>
    <w:rsid w:val="00EA0308"/>
    <w:rsid w:val="00EA0602"/>
    <w:rsid w:val="00EA0ABB"/>
    <w:rsid w:val="00EA25C3"/>
    <w:rsid w:val="00EA2755"/>
    <w:rsid w:val="00EA27B7"/>
    <w:rsid w:val="00EA2AC6"/>
    <w:rsid w:val="00EA2F30"/>
    <w:rsid w:val="00EA30BC"/>
    <w:rsid w:val="00EA3590"/>
    <w:rsid w:val="00EA3FB6"/>
    <w:rsid w:val="00EA4204"/>
    <w:rsid w:val="00EA42D5"/>
    <w:rsid w:val="00EA4916"/>
    <w:rsid w:val="00EA4B26"/>
    <w:rsid w:val="00EA50AF"/>
    <w:rsid w:val="00EA5941"/>
    <w:rsid w:val="00EA5CBE"/>
    <w:rsid w:val="00EA64CC"/>
    <w:rsid w:val="00EA6578"/>
    <w:rsid w:val="00EA744D"/>
    <w:rsid w:val="00EA7DED"/>
    <w:rsid w:val="00EB0A8D"/>
    <w:rsid w:val="00EB0B96"/>
    <w:rsid w:val="00EB1358"/>
    <w:rsid w:val="00EB167D"/>
    <w:rsid w:val="00EB16BA"/>
    <w:rsid w:val="00EB18C6"/>
    <w:rsid w:val="00EB2550"/>
    <w:rsid w:val="00EB292D"/>
    <w:rsid w:val="00EB2C3E"/>
    <w:rsid w:val="00EB432B"/>
    <w:rsid w:val="00EB4743"/>
    <w:rsid w:val="00EB47D5"/>
    <w:rsid w:val="00EB5426"/>
    <w:rsid w:val="00EB6614"/>
    <w:rsid w:val="00EB66E2"/>
    <w:rsid w:val="00EB67CA"/>
    <w:rsid w:val="00EB786B"/>
    <w:rsid w:val="00EB7B8B"/>
    <w:rsid w:val="00EB7E68"/>
    <w:rsid w:val="00EC057F"/>
    <w:rsid w:val="00EC0BA9"/>
    <w:rsid w:val="00EC11BB"/>
    <w:rsid w:val="00EC12DE"/>
    <w:rsid w:val="00EC1A0E"/>
    <w:rsid w:val="00EC1DC9"/>
    <w:rsid w:val="00EC21A4"/>
    <w:rsid w:val="00EC229A"/>
    <w:rsid w:val="00EC2E1C"/>
    <w:rsid w:val="00EC2E96"/>
    <w:rsid w:val="00EC36B3"/>
    <w:rsid w:val="00EC3753"/>
    <w:rsid w:val="00EC3C27"/>
    <w:rsid w:val="00EC3D61"/>
    <w:rsid w:val="00EC4435"/>
    <w:rsid w:val="00EC5400"/>
    <w:rsid w:val="00EC5905"/>
    <w:rsid w:val="00EC5A76"/>
    <w:rsid w:val="00EC610E"/>
    <w:rsid w:val="00EC6451"/>
    <w:rsid w:val="00EC6F3D"/>
    <w:rsid w:val="00EC704A"/>
    <w:rsid w:val="00EC722F"/>
    <w:rsid w:val="00ED0253"/>
    <w:rsid w:val="00ED031A"/>
    <w:rsid w:val="00ED0448"/>
    <w:rsid w:val="00ED0A94"/>
    <w:rsid w:val="00ED0CCA"/>
    <w:rsid w:val="00ED223E"/>
    <w:rsid w:val="00ED2386"/>
    <w:rsid w:val="00ED25AB"/>
    <w:rsid w:val="00ED2928"/>
    <w:rsid w:val="00ED2CB3"/>
    <w:rsid w:val="00ED3D9D"/>
    <w:rsid w:val="00ED4130"/>
    <w:rsid w:val="00ED48D4"/>
    <w:rsid w:val="00ED4A6D"/>
    <w:rsid w:val="00ED4BBA"/>
    <w:rsid w:val="00ED5495"/>
    <w:rsid w:val="00ED5A02"/>
    <w:rsid w:val="00ED5B4E"/>
    <w:rsid w:val="00ED5DEA"/>
    <w:rsid w:val="00ED5F5B"/>
    <w:rsid w:val="00ED6354"/>
    <w:rsid w:val="00ED67A8"/>
    <w:rsid w:val="00ED720B"/>
    <w:rsid w:val="00ED7428"/>
    <w:rsid w:val="00ED769D"/>
    <w:rsid w:val="00ED7906"/>
    <w:rsid w:val="00EE0146"/>
    <w:rsid w:val="00EE0EBF"/>
    <w:rsid w:val="00EE138B"/>
    <w:rsid w:val="00EE1BC1"/>
    <w:rsid w:val="00EE237F"/>
    <w:rsid w:val="00EE2AA4"/>
    <w:rsid w:val="00EE2DA5"/>
    <w:rsid w:val="00EE2E7B"/>
    <w:rsid w:val="00EE36B5"/>
    <w:rsid w:val="00EE3EC0"/>
    <w:rsid w:val="00EE446E"/>
    <w:rsid w:val="00EE4843"/>
    <w:rsid w:val="00EE4B29"/>
    <w:rsid w:val="00EE5973"/>
    <w:rsid w:val="00EE5FAA"/>
    <w:rsid w:val="00EE604F"/>
    <w:rsid w:val="00EE6172"/>
    <w:rsid w:val="00EE62A7"/>
    <w:rsid w:val="00EE66EE"/>
    <w:rsid w:val="00EE6C8C"/>
    <w:rsid w:val="00EE7306"/>
    <w:rsid w:val="00EE778E"/>
    <w:rsid w:val="00EF003C"/>
    <w:rsid w:val="00EF0268"/>
    <w:rsid w:val="00EF0D7C"/>
    <w:rsid w:val="00EF14ED"/>
    <w:rsid w:val="00EF1B9E"/>
    <w:rsid w:val="00EF1F8A"/>
    <w:rsid w:val="00EF2187"/>
    <w:rsid w:val="00EF27E0"/>
    <w:rsid w:val="00EF2979"/>
    <w:rsid w:val="00EF3F31"/>
    <w:rsid w:val="00EF44FC"/>
    <w:rsid w:val="00EF54B6"/>
    <w:rsid w:val="00EF55E2"/>
    <w:rsid w:val="00EF58F1"/>
    <w:rsid w:val="00EF61EF"/>
    <w:rsid w:val="00EF72E9"/>
    <w:rsid w:val="00EF73AD"/>
    <w:rsid w:val="00EF7535"/>
    <w:rsid w:val="00F00876"/>
    <w:rsid w:val="00F0134B"/>
    <w:rsid w:val="00F015A8"/>
    <w:rsid w:val="00F01E60"/>
    <w:rsid w:val="00F0210B"/>
    <w:rsid w:val="00F02436"/>
    <w:rsid w:val="00F024FE"/>
    <w:rsid w:val="00F026E9"/>
    <w:rsid w:val="00F02AFF"/>
    <w:rsid w:val="00F02C87"/>
    <w:rsid w:val="00F03150"/>
    <w:rsid w:val="00F03517"/>
    <w:rsid w:val="00F04318"/>
    <w:rsid w:val="00F04B31"/>
    <w:rsid w:val="00F052C8"/>
    <w:rsid w:val="00F055CD"/>
    <w:rsid w:val="00F0585E"/>
    <w:rsid w:val="00F05890"/>
    <w:rsid w:val="00F05B76"/>
    <w:rsid w:val="00F05CC9"/>
    <w:rsid w:val="00F05E64"/>
    <w:rsid w:val="00F062F5"/>
    <w:rsid w:val="00F071D4"/>
    <w:rsid w:val="00F074DB"/>
    <w:rsid w:val="00F07BA0"/>
    <w:rsid w:val="00F1034E"/>
    <w:rsid w:val="00F10B74"/>
    <w:rsid w:val="00F1120A"/>
    <w:rsid w:val="00F1135D"/>
    <w:rsid w:val="00F116F1"/>
    <w:rsid w:val="00F12085"/>
    <w:rsid w:val="00F1228C"/>
    <w:rsid w:val="00F122E1"/>
    <w:rsid w:val="00F12B69"/>
    <w:rsid w:val="00F135EE"/>
    <w:rsid w:val="00F138C2"/>
    <w:rsid w:val="00F13AAF"/>
    <w:rsid w:val="00F13D9F"/>
    <w:rsid w:val="00F1557A"/>
    <w:rsid w:val="00F15BCD"/>
    <w:rsid w:val="00F15D89"/>
    <w:rsid w:val="00F166A3"/>
    <w:rsid w:val="00F17156"/>
    <w:rsid w:val="00F171BE"/>
    <w:rsid w:val="00F172F1"/>
    <w:rsid w:val="00F17558"/>
    <w:rsid w:val="00F1780B"/>
    <w:rsid w:val="00F17AAA"/>
    <w:rsid w:val="00F200AC"/>
    <w:rsid w:val="00F20F9E"/>
    <w:rsid w:val="00F218C8"/>
    <w:rsid w:val="00F21DCB"/>
    <w:rsid w:val="00F221AA"/>
    <w:rsid w:val="00F223A4"/>
    <w:rsid w:val="00F22A05"/>
    <w:rsid w:val="00F22BA8"/>
    <w:rsid w:val="00F22D0D"/>
    <w:rsid w:val="00F23B76"/>
    <w:rsid w:val="00F23D49"/>
    <w:rsid w:val="00F240FB"/>
    <w:rsid w:val="00F24A9C"/>
    <w:rsid w:val="00F25818"/>
    <w:rsid w:val="00F25F7A"/>
    <w:rsid w:val="00F26963"/>
    <w:rsid w:val="00F27AE9"/>
    <w:rsid w:val="00F308F3"/>
    <w:rsid w:val="00F30DAD"/>
    <w:rsid w:val="00F311BA"/>
    <w:rsid w:val="00F313E8"/>
    <w:rsid w:val="00F3164A"/>
    <w:rsid w:val="00F31923"/>
    <w:rsid w:val="00F323F5"/>
    <w:rsid w:val="00F327B0"/>
    <w:rsid w:val="00F33F1B"/>
    <w:rsid w:val="00F33FAE"/>
    <w:rsid w:val="00F35101"/>
    <w:rsid w:val="00F3510E"/>
    <w:rsid w:val="00F35F38"/>
    <w:rsid w:val="00F36191"/>
    <w:rsid w:val="00F3677D"/>
    <w:rsid w:val="00F368EA"/>
    <w:rsid w:val="00F37274"/>
    <w:rsid w:val="00F3798A"/>
    <w:rsid w:val="00F37AFD"/>
    <w:rsid w:val="00F37D3F"/>
    <w:rsid w:val="00F37E3E"/>
    <w:rsid w:val="00F40212"/>
    <w:rsid w:val="00F405C8"/>
    <w:rsid w:val="00F414E2"/>
    <w:rsid w:val="00F419EA"/>
    <w:rsid w:val="00F41C41"/>
    <w:rsid w:val="00F4333C"/>
    <w:rsid w:val="00F43520"/>
    <w:rsid w:val="00F43C67"/>
    <w:rsid w:val="00F44235"/>
    <w:rsid w:val="00F442F5"/>
    <w:rsid w:val="00F45F23"/>
    <w:rsid w:val="00F46285"/>
    <w:rsid w:val="00F46778"/>
    <w:rsid w:val="00F46781"/>
    <w:rsid w:val="00F46BC9"/>
    <w:rsid w:val="00F47F86"/>
    <w:rsid w:val="00F5005C"/>
    <w:rsid w:val="00F505C4"/>
    <w:rsid w:val="00F50955"/>
    <w:rsid w:val="00F50FC0"/>
    <w:rsid w:val="00F510FA"/>
    <w:rsid w:val="00F51FAF"/>
    <w:rsid w:val="00F52754"/>
    <w:rsid w:val="00F53ABA"/>
    <w:rsid w:val="00F5462E"/>
    <w:rsid w:val="00F54919"/>
    <w:rsid w:val="00F54952"/>
    <w:rsid w:val="00F54A17"/>
    <w:rsid w:val="00F54B52"/>
    <w:rsid w:val="00F55076"/>
    <w:rsid w:val="00F55217"/>
    <w:rsid w:val="00F565C0"/>
    <w:rsid w:val="00F5699C"/>
    <w:rsid w:val="00F574A2"/>
    <w:rsid w:val="00F579C1"/>
    <w:rsid w:val="00F57BF2"/>
    <w:rsid w:val="00F57E91"/>
    <w:rsid w:val="00F57F96"/>
    <w:rsid w:val="00F60E3E"/>
    <w:rsid w:val="00F6133A"/>
    <w:rsid w:val="00F6161E"/>
    <w:rsid w:val="00F622C6"/>
    <w:rsid w:val="00F625E8"/>
    <w:rsid w:val="00F62E6C"/>
    <w:rsid w:val="00F63031"/>
    <w:rsid w:val="00F631DB"/>
    <w:rsid w:val="00F63844"/>
    <w:rsid w:val="00F64365"/>
    <w:rsid w:val="00F6461C"/>
    <w:rsid w:val="00F64A77"/>
    <w:rsid w:val="00F64B95"/>
    <w:rsid w:val="00F653C4"/>
    <w:rsid w:val="00F65FC5"/>
    <w:rsid w:val="00F664D2"/>
    <w:rsid w:val="00F67175"/>
    <w:rsid w:val="00F67273"/>
    <w:rsid w:val="00F67445"/>
    <w:rsid w:val="00F676BE"/>
    <w:rsid w:val="00F67C00"/>
    <w:rsid w:val="00F702AD"/>
    <w:rsid w:val="00F7147A"/>
    <w:rsid w:val="00F714F1"/>
    <w:rsid w:val="00F7172B"/>
    <w:rsid w:val="00F71E34"/>
    <w:rsid w:val="00F71E56"/>
    <w:rsid w:val="00F72162"/>
    <w:rsid w:val="00F737FF"/>
    <w:rsid w:val="00F73C30"/>
    <w:rsid w:val="00F74168"/>
    <w:rsid w:val="00F745F6"/>
    <w:rsid w:val="00F748E4"/>
    <w:rsid w:val="00F7520F"/>
    <w:rsid w:val="00F755B3"/>
    <w:rsid w:val="00F75877"/>
    <w:rsid w:val="00F75984"/>
    <w:rsid w:val="00F75B77"/>
    <w:rsid w:val="00F76392"/>
    <w:rsid w:val="00F76573"/>
    <w:rsid w:val="00F76951"/>
    <w:rsid w:val="00F76AAB"/>
    <w:rsid w:val="00F76AAD"/>
    <w:rsid w:val="00F76C7C"/>
    <w:rsid w:val="00F772A8"/>
    <w:rsid w:val="00F77428"/>
    <w:rsid w:val="00F774A7"/>
    <w:rsid w:val="00F77677"/>
    <w:rsid w:val="00F779D2"/>
    <w:rsid w:val="00F77B74"/>
    <w:rsid w:val="00F8000A"/>
    <w:rsid w:val="00F803D3"/>
    <w:rsid w:val="00F80E38"/>
    <w:rsid w:val="00F81125"/>
    <w:rsid w:val="00F81BF4"/>
    <w:rsid w:val="00F8261C"/>
    <w:rsid w:val="00F83325"/>
    <w:rsid w:val="00F839D9"/>
    <w:rsid w:val="00F840B5"/>
    <w:rsid w:val="00F84FB6"/>
    <w:rsid w:val="00F85173"/>
    <w:rsid w:val="00F8545A"/>
    <w:rsid w:val="00F856FA"/>
    <w:rsid w:val="00F85742"/>
    <w:rsid w:val="00F859BE"/>
    <w:rsid w:val="00F87489"/>
    <w:rsid w:val="00F874D4"/>
    <w:rsid w:val="00F87592"/>
    <w:rsid w:val="00F90DD5"/>
    <w:rsid w:val="00F91874"/>
    <w:rsid w:val="00F91E22"/>
    <w:rsid w:val="00F932F4"/>
    <w:rsid w:val="00F94353"/>
    <w:rsid w:val="00F946C3"/>
    <w:rsid w:val="00F94A01"/>
    <w:rsid w:val="00F94A39"/>
    <w:rsid w:val="00F94C3C"/>
    <w:rsid w:val="00F952B6"/>
    <w:rsid w:val="00F95580"/>
    <w:rsid w:val="00F9565A"/>
    <w:rsid w:val="00F95B45"/>
    <w:rsid w:val="00F95E0B"/>
    <w:rsid w:val="00F95E1B"/>
    <w:rsid w:val="00F967AC"/>
    <w:rsid w:val="00F96D44"/>
    <w:rsid w:val="00F970A8"/>
    <w:rsid w:val="00F97298"/>
    <w:rsid w:val="00F979BB"/>
    <w:rsid w:val="00FA047E"/>
    <w:rsid w:val="00FA0CEE"/>
    <w:rsid w:val="00FA109A"/>
    <w:rsid w:val="00FA1229"/>
    <w:rsid w:val="00FA1782"/>
    <w:rsid w:val="00FA1E35"/>
    <w:rsid w:val="00FA2496"/>
    <w:rsid w:val="00FA2699"/>
    <w:rsid w:val="00FA2B2B"/>
    <w:rsid w:val="00FA2B64"/>
    <w:rsid w:val="00FA2CD5"/>
    <w:rsid w:val="00FA2F19"/>
    <w:rsid w:val="00FA3019"/>
    <w:rsid w:val="00FA3484"/>
    <w:rsid w:val="00FA3E49"/>
    <w:rsid w:val="00FA3FFA"/>
    <w:rsid w:val="00FA4301"/>
    <w:rsid w:val="00FA4843"/>
    <w:rsid w:val="00FA51A3"/>
    <w:rsid w:val="00FA5844"/>
    <w:rsid w:val="00FA591F"/>
    <w:rsid w:val="00FA5A86"/>
    <w:rsid w:val="00FA5AE3"/>
    <w:rsid w:val="00FA5C79"/>
    <w:rsid w:val="00FA5F2E"/>
    <w:rsid w:val="00FA5F84"/>
    <w:rsid w:val="00FA6128"/>
    <w:rsid w:val="00FA7480"/>
    <w:rsid w:val="00FB0204"/>
    <w:rsid w:val="00FB08D0"/>
    <w:rsid w:val="00FB0D2A"/>
    <w:rsid w:val="00FB1735"/>
    <w:rsid w:val="00FB1A03"/>
    <w:rsid w:val="00FB28D6"/>
    <w:rsid w:val="00FB2A0F"/>
    <w:rsid w:val="00FB2BEC"/>
    <w:rsid w:val="00FB2E7D"/>
    <w:rsid w:val="00FB3118"/>
    <w:rsid w:val="00FB32F4"/>
    <w:rsid w:val="00FB37DE"/>
    <w:rsid w:val="00FB4310"/>
    <w:rsid w:val="00FB4551"/>
    <w:rsid w:val="00FB50C7"/>
    <w:rsid w:val="00FB5240"/>
    <w:rsid w:val="00FB61DC"/>
    <w:rsid w:val="00FB6364"/>
    <w:rsid w:val="00FB68FE"/>
    <w:rsid w:val="00FB6B2F"/>
    <w:rsid w:val="00FB7907"/>
    <w:rsid w:val="00FC0175"/>
    <w:rsid w:val="00FC0195"/>
    <w:rsid w:val="00FC05DB"/>
    <w:rsid w:val="00FC0CB3"/>
    <w:rsid w:val="00FC111C"/>
    <w:rsid w:val="00FC11E2"/>
    <w:rsid w:val="00FC120F"/>
    <w:rsid w:val="00FC1424"/>
    <w:rsid w:val="00FC1A31"/>
    <w:rsid w:val="00FC1B09"/>
    <w:rsid w:val="00FC2B41"/>
    <w:rsid w:val="00FC2C69"/>
    <w:rsid w:val="00FC2EA9"/>
    <w:rsid w:val="00FC3C5E"/>
    <w:rsid w:val="00FC3CF4"/>
    <w:rsid w:val="00FC483C"/>
    <w:rsid w:val="00FC5159"/>
    <w:rsid w:val="00FC58F8"/>
    <w:rsid w:val="00FC7591"/>
    <w:rsid w:val="00FC7768"/>
    <w:rsid w:val="00FC79AB"/>
    <w:rsid w:val="00FC7EF9"/>
    <w:rsid w:val="00FC7F3A"/>
    <w:rsid w:val="00FD035D"/>
    <w:rsid w:val="00FD03C2"/>
    <w:rsid w:val="00FD1AC5"/>
    <w:rsid w:val="00FD228F"/>
    <w:rsid w:val="00FD2FBE"/>
    <w:rsid w:val="00FD32F4"/>
    <w:rsid w:val="00FD344F"/>
    <w:rsid w:val="00FD358B"/>
    <w:rsid w:val="00FD380E"/>
    <w:rsid w:val="00FD38F5"/>
    <w:rsid w:val="00FD3A9D"/>
    <w:rsid w:val="00FD3DB8"/>
    <w:rsid w:val="00FD4590"/>
    <w:rsid w:val="00FD465A"/>
    <w:rsid w:val="00FD4B7E"/>
    <w:rsid w:val="00FD4B89"/>
    <w:rsid w:val="00FD63DD"/>
    <w:rsid w:val="00FD699B"/>
    <w:rsid w:val="00FD6DD4"/>
    <w:rsid w:val="00FD6E34"/>
    <w:rsid w:val="00FD7077"/>
    <w:rsid w:val="00FD74CA"/>
    <w:rsid w:val="00FD78F4"/>
    <w:rsid w:val="00FD7BB5"/>
    <w:rsid w:val="00FE02C8"/>
    <w:rsid w:val="00FE0688"/>
    <w:rsid w:val="00FE09F1"/>
    <w:rsid w:val="00FE0B8E"/>
    <w:rsid w:val="00FE0E47"/>
    <w:rsid w:val="00FE1498"/>
    <w:rsid w:val="00FE169D"/>
    <w:rsid w:val="00FE195A"/>
    <w:rsid w:val="00FE229C"/>
    <w:rsid w:val="00FE3167"/>
    <w:rsid w:val="00FE3567"/>
    <w:rsid w:val="00FE3F6A"/>
    <w:rsid w:val="00FE5ECC"/>
    <w:rsid w:val="00FE6107"/>
    <w:rsid w:val="00FE63C1"/>
    <w:rsid w:val="00FE685C"/>
    <w:rsid w:val="00FE690E"/>
    <w:rsid w:val="00FE6D18"/>
    <w:rsid w:val="00FE6FBA"/>
    <w:rsid w:val="00FE75A5"/>
    <w:rsid w:val="00FE7697"/>
    <w:rsid w:val="00FE7783"/>
    <w:rsid w:val="00FE778D"/>
    <w:rsid w:val="00FE7F75"/>
    <w:rsid w:val="00FF00EB"/>
    <w:rsid w:val="00FF029C"/>
    <w:rsid w:val="00FF0A2B"/>
    <w:rsid w:val="00FF0C95"/>
    <w:rsid w:val="00FF0CB8"/>
    <w:rsid w:val="00FF0E2A"/>
    <w:rsid w:val="00FF12BD"/>
    <w:rsid w:val="00FF278B"/>
    <w:rsid w:val="00FF31AB"/>
    <w:rsid w:val="00FF3AB7"/>
    <w:rsid w:val="00FF3F6C"/>
    <w:rsid w:val="00FF4328"/>
    <w:rsid w:val="00FF4487"/>
    <w:rsid w:val="00FF4AA5"/>
    <w:rsid w:val="00FF4E11"/>
    <w:rsid w:val="00FF5560"/>
    <w:rsid w:val="00FF5696"/>
    <w:rsid w:val="00FF594B"/>
    <w:rsid w:val="00FF6156"/>
    <w:rsid w:val="00FF6446"/>
    <w:rsid w:val="00FF6722"/>
    <w:rsid w:val="00FF701C"/>
    <w:rsid w:val="00FF78C9"/>
    <w:rsid w:val="00FF7968"/>
    <w:rsid w:val="00FF7C1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907"/>
    <w:rPr>
      <w:rFonts w:ascii="Garamond" w:hAnsi="Garamond" w:cs="Calibri"/>
      <w:sz w:val="24"/>
      <w:szCs w:val="26"/>
      <w:lang w:val="en-GB" w:eastAsia="da-DK" w:bidi="ar-SA"/>
    </w:rPr>
  </w:style>
  <w:style w:type="paragraph" w:styleId="Heading1">
    <w:name w:val="heading 1"/>
    <w:basedOn w:val="Normal"/>
    <w:next w:val="Normal"/>
    <w:link w:val="Heading1Char"/>
    <w:qFormat/>
    <w:rsid w:val="00265F0F"/>
    <w:pPr>
      <w:keepNext/>
      <w:numPr>
        <w:numId w:val="1"/>
      </w:numPr>
      <w:spacing w:before="240"/>
      <w:outlineLvl w:val="0"/>
    </w:pPr>
    <w:rPr>
      <w:rFonts w:cs="Arial"/>
      <w:b/>
      <w:bCs/>
      <w:caps/>
      <w:kern w:val="32"/>
      <w:sz w:val="26"/>
      <w:szCs w:val="32"/>
    </w:rPr>
  </w:style>
  <w:style w:type="paragraph" w:styleId="Heading2">
    <w:name w:val="heading 2"/>
    <w:basedOn w:val="Normal"/>
    <w:next w:val="Normal"/>
    <w:link w:val="Heading2Char"/>
    <w:qFormat/>
    <w:rsid w:val="000E1805"/>
    <w:pPr>
      <w:keepNext/>
      <w:keepLines/>
      <w:numPr>
        <w:ilvl w:val="1"/>
        <w:numId w:val="1"/>
      </w:numPr>
      <w:spacing w:before="240"/>
      <w:outlineLvl w:val="1"/>
    </w:pPr>
    <w:rPr>
      <w:rFonts w:cs="Arial"/>
      <w:b/>
      <w:bCs/>
      <w:iCs/>
      <w:szCs w:val="28"/>
    </w:rPr>
  </w:style>
  <w:style w:type="paragraph" w:styleId="Heading3">
    <w:name w:val="heading 3"/>
    <w:basedOn w:val="Normal"/>
    <w:next w:val="Normal"/>
    <w:qFormat/>
    <w:rsid w:val="00FB0204"/>
    <w:pPr>
      <w:keepNext/>
      <w:keepLines/>
      <w:numPr>
        <w:ilvl w:val="2"/>
        <w:numId w:val="1"/>
      </w:numPr>
      <w:spacing w:before="120"/>
      <w:outlineLvl w:val="2"/>
    </w:pPr>
    <w:rPr>
      <w:i/>
      <w:iCs/>
    </w:rPr>
  </w:style>
  <w:style w:type="paragraph" w:styleId="Heading4">
    <w:name w:val="heading 4"/>
    <w:basedOn w:val="Normal"/>
    <w:next w:val="Normal"/>
    <w:rsid w:val="005F3952"/>
    <w:pPr>
      <w:keepNext/>
      <w:numPr>
        <w:ilvl w:val="3"/>
        <w:numId w:val="1"/>
      </w:numPr>
      <w:spacing w:before="240" w:after="60"/>
      <w:outlineLvl w:val="3"/>
    </w:pPr>
    <w:rPr>
      <w:b/>
      <w:bCs/>
      <w:sz w:val="28"/>
      <w:szCs w:val="28"/>
    </w:rPr>
  </w:style>
  <w:style w:type="paragraph" w:styleId="Heading5">
    <w:name w:val="heading 5"/>
    <w:basedOn w:val="Normal"/>
    <w:next w:val="Normal"/>
    <w:rsid w:val="005F3952"/>
    <w:pPr>
      <w:numPr>
        <w:ilvl w:val="4"/>
        <w:numId w:val="1"/>
      </w:numPr>
      <w:spacing w:before="240" w:after="60"/>
      <w:outlineLvl w:val="4"/>
    </w:pPr>
    <w:rPr>
      <w:b/>
      <w:bCs/>
      <w:i/>
      <w:iCs/>
    </w:rPr>
  </w:style>
  <w:style w:type="paragraph" w:styleId="Heading6">
    <w:name w:val="heading 6"/>
    <w:basedOn w:val="Normal"/>
    <w:next w:val="Normal"/>
    <w:rsid w:val="005F3952"/>
    <w:pPr>
      <w:numPr>
        <w:ilvl w:val="5"/>
        <w:numId w:val="1"/>
      </w:numPr>
      <w:spacing w:before="240" w:after="60"/>
      <w:outlineLvl w:val="5"/>
    </w:pPr>
    <w:rPr>
      <w:b/>
      <w:bCs/>
      <w:sz w:val="22"/>
      <w:szCs w:val="22"/>
    </w:rPr>
  </w:style>
  <w:style w:type="paragraph" w:styleId="Heading7">
    <w:name w:val="heading 7"/>
    <w:basedOn w:val="Normal"/>
    <w:next w:val="Normal"/>
    <w:rsid w:val="005F3952"/>
    <w:pPr>
      <w:numPr>
        <w:ilvl w:val="6"/>
        <w:numId w:val="1"/>
      </w:numPr>
      <w:spacing w:before="240" w:after="60"/>
      <w:outlineLvl w:val="6"/>
    </w:pPr>
  </w:style>
  <w:style w:type="paragraph" w:styleId="Heading8">
    <w:name w:val="heading 8"/>
    <w:basedOn w:val="Normal"/>
    <w:next w:val="Normal"/>
    <w:rsid w:val="005F3952"/>
    <w:pPr>
      <w:numPr>
        <w:ilvl w:val="7"/>
        <w:numId w:val="1"/>
      </w:numPr>
      <w:spacing w:before="240" w:after="60"/>
      <w:outlineLvl w:val="7"/>
    </w:pPr>
    <w:rPr>
      <w:i/>
      <w:iCs/>
    </w:rPr>
  </w:style>
  <w:style w:type="paragraph" w:styleId="Heading9">
    <w:name w:val="heading 9"/>
    <w:basedOn w:val="Normal"/>
    <w:next w:val="Normal"/>
    <w:rsid w:val="005F39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952"/>
    <w:pPr>
      <w:tabs>
        <w:tab w:val="center" w:pos="4819"/>
        <w:tab w:val="right" w:pos="9638"/>
      </w:tabs>
    </w:pPr>
  </w:style>
  <w:style w:type="character" w:styleId="PageNumber">
    <w:name w:val="page number"/>
    <w:basedOn w:val="DefaultParagraphFont"/>
    <w:rsid w:val="005F3952"/>
  </w:style>
  <w:style w:type="paragraph" w:styleId="BodyText">
    <w:name w:val="Body Text"/>
    <w:basedOn w:val="Normal"/>
    <w:rsid w:val="005F3952"/>
    <w:rPr>
      <w:i/>
      <w:iCs/>
    </w:rPr>
  </w:style>
  <w:style w:type="paragraph" w:styleId="TOC1">
    <w:name w:val="toc 1"/>
    <w:basedOn w:val="Normal"/>
    <w:next w:val="Normal"/>
    <w:autoRedefine/>
    <w:uiPriority w:val="39"/>
    <w:qFormat/>
    <w:rsid w:val="00834A14"/>
    <w:pPr>
      <w:tabs>
        <w:tab w:val="left" w:pos="360"/>
        <w:tab w:val="left" w:pos="900"/>
        <w:tab w:val="right" w:leader="dot" w:pos="9000"/>
      </w:tabs>
      <w:spacing w:before="120"/>
      <w:ind w:left="360" w:hanging="360"/>
    </w:pPr>
    <w:rPr>
      <w:b/>
      <w:bCs/>
      <w:caps/>
      <w:noProof/>
      <w:szCs w:val="28"/>
    </w:rPr>
  </w:style>
  <w:style w:type="paragraph" w:styleId="TOC2">
    <w:name w:val="toc 2"/>
    <w:basedOn w:val="Normal"/>
    <w:next w:val="Normal"/>
    <w:autoRedefine/>
    <w:uiPriority w:val="39"/>
    <w:qFormat/>
    <w:rsid w:val="005F3952"/>
    <w:pPr>
      <w:tabs>
        <w:tab w:val="left" w:pos="360"/>
        <w:tab w:val="left" w:pos="900"/>
        <w:tab w:val="left" w:pos="960"/>
        <w:tab w:val="right" w:leader="dot" w:pos="9000"/>
      </w:tabs>
      <w:ind w:left="900" w:hanging="540"/>
    </w:pPr>
    <w:rPr>
      <w:bCs/>
      <w:noProof/>
    </w:rPr>
  </w:style>
  <w:style w:type="paragraph" w:styleId="TOC3">
    <w:name w:val="toc 3"/>
    <w:basedOn w:val="Normal"/>
    <w:next w:val="Normal"/>
    <w:autoRedefine/>
    <w:uiPriority w:val="39"/>
    <w:qFormat/>
    <w:rsid w:val="005F3952"/>
    <w:pPr>
      <w:ind w:left="240"/>
    </w:pPr>
  </w:style>
  <w:style w:type="paragraph" w:styleId="TOC4">
    <w:name w:val="toc 4"/>
    <w:basedOn w:val="Normal"/>
    <w:next w:val="Normal"/>
    <w:autoRedefine/>
    <w:semiHidden/>
    <w:rsid w:val="005F3952"/>
    <w:pPr>
      <w:ind w:left="480"/>
    </w:pPr>
  </w:style>
  <w:style w:type="paragraph" w:styleId="TOC5">
    <w:name w:val="toc 5"/>
    <w:basedOn w:val="Normal"/>
    <w:next w:val="Normal"/>
    <w:autoRedefine/>
    <w:semiHidden/>
    <w:rsid w:val="005F3952"/>
    <w:pPr>
      <w:ind w:left="720"/>
    </w:pPr>
  </w:style>
  <w:style w:type="paragraph" w:styleId="TOC6">
    <w:name w:val="toc 6"/>
    <w:basedOn w:val="Normal"/>
    <w:next w:val="Normal"/>
    <w:autoRedefine/>
    <w:semiHidden/>
    <w:rsid w:val="005F3952"/>
    <w:pPr>
      <w:ind w:left="960"/>
    </w:pPr>
  </w:style>
  <w:style w:type="paragraph" w:styleId="TOC7">
    <w:name w:val="toc 7"/>
    <w:basedOn w:val="Normal"/>
    <w:next w:val="Normal"/>
    <w:autoRedefine/>
    <w:semiHidden/>
    <w:rsid w:val="005F3952"/>
    <w:pPr>
      <w:ind w:left="1200"/>
    </w:pPr>
  </w:style>
  <w:style w:type="paragraph" w:styleId="TOC8">
    <w:name w:val="toc 8"/>
    <w:basedOn w:val="Normal"/>
    <w:next w:val="Normal"/>
    <w:autoRedefine/>
    <w:semiHidden/>
    <w:rsid w:val="005F3952"/>
    <w:pPr>
      <w:ind w:left="1440"/>
    </w:pPr>
  </w:style>
  <w:style w:type="paragraph" w:styleId="TOC9">
    <w:name w:val="toc 9"/>
    <w:basedOn w:val="Normal"/>
    <w:next w:val="Normal"/>
    <w:autoRedefine/>
    <w:semiHidden/>
    <w:rsid w:val="005F3952"/>
    <w:pPr>
      <w:ind w:left="1680"/>
    </w:pPr>
  </w:style>
  <w:style w:type="paragraph" w:styleId="Header">
    <w:name w:val="header"/>
    <w:basedOn w:val="Normal"/>
    <w:link w:val="HeaderChar"/>
    <w:rsid w:val="005F3952"/>
    <w:pPr>
      <w:tabs>
        <w:tab w:val="center" w:pos="4153"/>
        <w:tab w:val="right" w:pos="8306"/>
      </w:tabs>
    </w:pPr>
  </w:style>
  <w:style w:type="character" w:styleId="FootnoteReference">
    <w:name w:val="footnote reference"/>
    <w:aliases w:val="BVI fnr,ftref,4_G,Times 10 Point, Exposant 3 Point,Footnote symbol,Footnote reference number,Exposant 3 Point,EN Footnote Reference,note TESI,16 Point,Superscript 6 Point,Rimando nota a piè di pagina1,Footnotes refss,BVI fnr Ca,сноска"/>
    <w:basedOn w:val="DefaultParagraphFont"/>
    <w:link w:val="AppelnotedebasdepageCharCharCharCharCharCharChar"/>
    <w:uiPriority w:val="99"/>
    <w:qFormat/>
    <w:rsid w:val="005F3952"/>
    <w:rPr>
      <w:dstrike w:val="0"/>
      <w:vertAlign w:val="superscript"/>
      <w:lang w:val="en-GB"/>
    </w:rPr>
  </w:style>
  <w:style w:type="paragraph" w:customStyle="1" w:styleId="xl33">
    <w:name w:val="xl33"/>
    <w:basedOn w:val="Normal"/>
    <w:rsid w:val="005F3952"/>
    <w:pPr>
      <w:spacing w:before="100" w:beforeAutospacing="1" w:after="100" w:afterAutospacing="1"/>
      <w:jc w:val="center"/>
    </w:pPr>
    <w:rPr>
      <w:rFonts w:ascii="Arial" w:hAnsi="Arial" w:cs="Arial"/>
      <w:b/>
      <w:bCs/>
    </w:rPr>
  </w:style>
  <w:style w:type="paragraph" w:customStyle="1" w:styleId="xl37">
    <w:name w:val="xl37"/>
    <w:basedOn w:val="Normal"/>
    <w:rsid w:val="005F3952"/>
    <w:pPr>
      <w:spacing w:before="100" w:beforeAutospacing="1" w:after="100" w:afterAutospacing="1"/>
      <w:jc w:val="right"/>
    </w:pPr>
    <w:rPr>
      <w:rFonts w:ascii="Arial" w:hAnsi="Arial" w:cs="Arial"/>
      <w:b/>
      <w:bCs/>
    </w:rPr>
  </w:style>
  <w:style w:type="paragraph" w:styleId="PlainText">
    <w:name w:val="Plain Text"/>
    <w:basedOn w:val="Normal"/>
    <w:link w:val="PlainTextChar"/>
    <w:uiPriority w:val="99"/>
    <w:rsid w:val="005F3952"/>
    <w:rPr>
      <w:rFonts w:ascii="Courier New" w:hAnsi="Courier New" w:cs="Courier New"/>
      <w:sz w:val="20"/>
      <w:szCs w:val="20"/>
    </w:rPr>
  </w:style>
  <w:style w:type="paragraph" w:customStyle="1" w:styleId="Default">
    <w:name w:val="Default"/>
    <w:rsid w:val="005F3952"/>
    <w:pPr>
      <w:widowControl w:val="0"/>
      <w:autoSpaceDE w:val="0"/>
      <w:autoSpaceDN w:val="0"/>
      <w:adjustRightInd w:val="0"/>
    </w:pPr>
    <w:rPr>
      <w:rFonts w:ascii="Arial" w:hAnsi="Arial" w:cs="Arial"/>
      <w:color w:val="000000"/>
      <w:sz w:val="24"/>
      <w:szCs w:val="24"/>
      <w:lang w:bidi="ar-SA"/>
    </w:rPr>
  </w:style>
  <w:style w:type="character" w:styleId="Hyperlink">
    <w:name w:val="Hyperlink"/>
    <w:basedOn w:val="DefaultParagraphFont"/>
    <w:uiPriority w:val="99"/>
    <w:rsid w:val="005F3952"/>
    <w:rPr>
      <w:color w:val="0000FF"/>
      <w:u w:val="single"/>
    </w:rPr>
  </w:style>
  <w:style w:type="paragraph" w:styleId="FootnoteText">
    <w:name w:val="footnote text"/>
    <w:aliases w:val="fodnotetekst,Fußnotentextf,Footnote Text Char Char,Geneva 9,Font: Geneva 9,Boston 10,f,ft,ADB,single space,FOOTNOTES,fn,Footnote Text1 Char,Footnote Text2,Footnote Text Char Char Char1 Char,Footnote Text Char Char Char1,ALTS FOOTNOTE,5_G,A"/>
    <w:basedOn w:val="Normal"/>
    <w:link w:val="FootnoteTextChar"/>
    <w:uiPriority w:val="99"/>
    <w:rsid w:val="005F3952"/>
    <w:rPr>
      <w:sz w:val="20"/>
      <w:szCs w:val="20"/>
      <w:lang w:val="da-DK"/>
    </w:rPr>
  </w:style>
  <w:style w:type="character" w:styleId="FollowedHyperlink">
    <w:name w:val="FollowedHyperlink"/>
    <w:basedOn w:val="DefaultParagraphFont"/>
    <w:rsid w:val="005F3952"/>
    <w:rPr>
      <w:color w:val="800080"/>
      <w:u w:val="single"/>
    </w:rPr>
  </w:style>
  <w:style w:type="paragraph" w:styleId="BalloonText">
    <w:name w:val="Balloon Text"/>
    <w:basedOn w:val="Normal"/>
    <w:semiHidden/>
    <w:rsid w:val="004D59F5"/>
    <w:rPr>
      <w:rFonts w:ascii="Tahoma" w:hAnsi="Tahoma" w:cs="Tahoma"/>
      <w:szCs w:val="16"/>
    </w:rPr>
  </w:style>
  <w:style w:type="paragraph" w:customStyle="1" w:styleId="N">
    <w:name w:val="N"/>
    <w:basedOn w:val="Heading1"/>
    <w:rsid w:val="00E77D15"/>
  </w:style>
  <w:style w:type="paragraph" w:styleId="BodyTextIndent2">
    <w:name w:val="Body Text Indent 2"/>
    <w:basedOn w:val="Normal"/>
    <w:rsid w:val="00CE5737"/>
    <w:pPr>
      <w:spacing w:after="120" w:line="480" w:lineRule="auto"/>
      <w:ind w:left="283"/>
    </w:pPr>
  </w:style>
  <w:style w:type="paragraph" w:styleId="BodyTextIndent">
    <w:name w:val="Body Text Indent"/>
    <w:basedOn w:val="Normal"/>
    <w:rsid w:val="00CE5737"/>
    <w:pPr>
      <w:spacing w:after="120"/>
      <w:ind w:left="283"/>
    </w:pPr>
  </w:style>
  <w:style w:type="paragraph" w:styleId="Title">
    <w:name w:val="Title"/>
    <w:basedOn w:val="Normal"/>
    <w:link w:val="TitleChar"/>
    <w:uiPriority w:val="10"/>
    <w:qFormat/>
    <w:rsid w:val="000040F4"/>
    <w:pPr>
      <w:jc w:val="center"/>
    </w:pPr>
    <w:rPr>
      <w:b/>
      <w:sz w:val="36"/>
      <w:szCs w:val="36"/>
    </w:rPr>
  </w:style>
  <w:style w:type="paragraph" w:styleId="Subtitle">
    <w:name w:val="Subtitle"/>
    <w:basedOn w:val="Normal"/>
    <w:link w:val="SubtitleChar"/>
    <w:qFormat/>
    <w:rsid w:val="000040F4"/>
    <w:pPr>
      <w:jc w:val="center"/>
    </w:pPr>
    <w:rPr>
      <w:b/>
      <w:sz w:val="36"/>
      <w:szCs w:val="36"/>
    </w:rPr>
  </w:style>
  <w:style w:type="table" w:styleId="TableGrid">
    <w:name w:val="Table Grid"/>
    <w:basedOn w:val="TableNormal"/>
    <w:rsid w:val="00B1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954A1"/>
    <w:rPr>
      <w:sz w:val="24"/>
      <w:szCs w:val="24"/>
      <w:lang w:val="en-GB"/>
    </w:rPr>
  </w:style>
  <w:style w:type="character" w:customStyle="1" w:styleId="FootnoteTextChar">
    <w:name w:val="Footnote Text Char"/>
    <w:aliases w:val="fodnotetekst Char,Fußnotentextf Char,Footnote Text Char Char Char,Geneva 9 Char,Font: Geneva 9 Char,Boston 10 Char,f Char,ft Char,ADB Char,single space Char,FOOTNOTES Char,fn Char,Footnote Text1 Char Char,Footnote Text2 Char,5_G Char"/>
    <w:basedOn w:val="DefaultParagraphFont"/>
    <w:link w:val="FootnoteText"/>
    <w:uiPriority w:val="99"/>
    <w:rsid w:val="001E14B7"/>
    <w:rPr>
      <w:lang w:val="da-DK" w:eastAsia="da-DK"/>
    </w:rPr>
  </w:style>
  <w:style w:type="table" w:customStyle="1" w:styleId="LightShading1">
    <w:name w:val="Light Shading1"/>
    <w:basedOn w:val="TableNormal"/>
    <w:uiPriority w:val="60"/>
    <w:rsid w:val="009622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265F0F"/>
    <w:rPr>
      <w:rFonts w:ascii="Garamond" w:hAnsi="Garamond" w:cs="Arial"/>
      <w:b/>
      <w:bCs/>
      <w:caps/>
      <w:kern w:val="32"/>
      <w:sz w:val="26"/>
      <w:szCs w:val="32"/>
      <w:lang w:val="en-GB" w:eastAsia="da-DK" w:bidi="ar-SA"/>
    </w:rPr>
  </w:style>
  <w:style w:type="character" w:customStyle="1" w:styleId="Heading2Char">
    <w:name w:val="Heading 2 Char"/>
    <w:basedOn w:val="DefaultParagraphFont"/>
    <w:link w:val="Heading2"/>
    <w:rsid w:val="000E1805"/>
    <w:rPr>
      <w:rFonts w:ascii="Garamond" w:hAnsi="Garamond" w:cs="Arial"/>
      <w:b/>
      <w:bCs/>
      <w:iCs/>
      <w:sz w:val="24"/>
      <w:szCs w:val="28"/>
      <w:lang w:val="en-GB" w:eastAsia="da-DK" w:bidi="ar-SA"/>
    </w:rPr>
  </w:style>
  <w:style w:type="paragraph" w:styleId="ListParagraph">
    <w:name w:val="List Paragraph"/>
    <w:basedOn w:val="Normal"/>
    <w:link w:val="ListParagraphChar"/>
    <w:uiPriority w:val="34"/>
    <w:qFormat/>
    <w:rsid w:val="00302F67"/>
    <w:pPr>
      <w:ind w:left="720"/>
      <w:contextualSpacing/>
    </w:pPr>
  </w:style>
  <w:style w:type="paragraph" w:styleId="TOCHeading">
    <w:name w:val="TOC Heading"/>
    <w:basedOn w:val="Heading1"/>
    <w:next w:val="Normal"/>
    <w:uiPriority w:val="39"/>
    <w:semiHidden/>
    <w:unhideWhenUsed/>
    <w:qFormat/>
    <w:rsid w:val="00D87EA1"/>
    <w:pPr>
      <w:keepLines/>
      <w:numPr>
        <w:numId w:val="0"/>
      </w:numPr>
      <w:spacing w:before="480" w:line="276" w:lineRule="auto"/>
      <w:outlineLvl w:val="9"/>
    </w:pPr>
    <w:rPr>
      <w:rFonts w:ascii="Cambria" w:hAnsi="Cambria" w:cs="Times New Roman"/>
      <w:caps w:val="0"/>
      <w:color w:val="365F91"/>
      <w:kern w:val="0"/>
      <w:szCs w:val="28"/>
      <w:lang w:val="en-US" w:eastAsia="en-US"/>
    </w:rPr>
  </w:style>
  <w:style w:type="table" w:customStyle="1" w:styleId="TableGrid1">
    <w:name w:val="Table Grid1"/>
    <w:basedOn w:val="TableNormal"/>
    <w:next w:val="TableGrid"/>
    <w:uiPriority w:val="59"/>
    <w:rsid w:val="0075432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BD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E7C64"/>
    <w:rPr>
      <w:sz w:val="16"/>
      <w:szCs w:val="16"/>
    </w:rPr>
  </w:style>
  <w:style w:type="paragraph" w:styleId="CommentText">
    <w:name w:val="annotation text"/>
    <w:basedOn w:val="Normal"/>
    <w:link w:val="CommentTextChar"/>
    <w:uiPriority w:val="99"/>
    <w:unhideWhenUsed/>
    <w:rsid w:val="006E7C64"/>
    <w:rPr>
      <w:sz w:val="20"/>
      <w:szCs w:val="20"/>
    </w:rPr>
  </w:style>
  <w:style w:type="character" w:customStyle="1" w:styleId="CommentTextChar">
    <w:name w:val="Comment Text Char"/>
    <w:basedOn w:val="DefaultParagraphFont"/>
    <w:link w:val="CommentText"/>
    <w:uiPriority w:val="99"/>
    <w:rsid w:val="006E7C64"/>
    <w:rPr>
      <w:rFonts w:ascii="Garamond" w:hAnsi="Garamond" w:cs="Calibri"/>
      <w:lang w:val="en-GB" w:eastAsia="da-DK" w:bidi="ar-SA"/>
    </w:rPr>
  </w:style>
  <w:style w:type="paragraph" w:styleId="CommentSubject">
    <w:name w:val="annotation subject"/>
    <w:basedOn w:val="CommentText"/>
    <w:next w:val="CommentText"/>
    <w:link w:val="CommentSubjectChar"/>
    <w:uiPriority w:val="99"/>
    <w:semiHidden/>
    <w:unhideWhenUsed/>
    <w:rsid w:val="006E7C64"/>
    <w:rPr>
      <w:b/>
      <w:bCs/>
    </w:rPr>
  </w:style>
  <w:style w:type="character" w:customStyle="1" w:styleId="CommentSubjectChar">
    <w:name w:val="Comment Subject Char"/>
    <w:basedOn w:val="CommentTextChar"/>
    <w:link w:val="CommentSubject"/>
    <w:uiPriority w:val="99"/>
    <w:semiHidden/>
    <w:rsid w:val="006E7C64"/>
    <w:rPr>
      <w:rFonts w:ascii="Garamond" w:hAnsi="Garamond" w:cs="Calibri"/>
      <w:b/>
      <w:bCs/>
      <w:lang w:val="en-GB" w:eastAsia="da-DK" w:bidi="ar-SA"/>
    </w:rPr>
  </w:style>
  <w:style w:type="table" w:customStyle="1" w:styleId="TableGrid3">
    <w:name w:val="Table Grid3"/>
    <w:basedOn w:val="TableNormal"/>
    <w:next w:val="TableGrid"/>
    <w:uiPriority w:val="59"/>
    <w:rsid w:val="0052031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0B1"/>
    <w:rPr>
      <w:rFonts w:asciiTheme="minorHAnsi" w:eastAsiaTheme="minorHAnsi" w:hAnsiTheme="minorHAnsi" w:cstheme="minorBidi"/>
      <w:sz w:val="22"/>
      <w:szCs w:val="22"/>
      <w:lang w:val="da-DK" w:bidi="ar-SA"/>
    </w:rPr>
  </w:style>
  <w:style w:type="paragraph" w:styleId="Revision">
    <w:name w:val="Revision"/>
    <w:hidden/>
    <w:uiPriority w:val="99"/>
    <w:semiHidden/>
    <w:rsid w:val="004B4282"/>
    <w:rPr>
      <w:rFonts w:ascii="Garamond" w:hAnsi="Garamond" w:cs="Calibri"/>
      <w:sz w:val="24"/>
      <w:szCs w:val="26"/>
      <w:lang w:val="en-GB" w:eastAsia="da-DK" w:bidi="ar-SA"/>
    </w:rPr>
  </w:style>
  <w:style w:type="paragraph" w:styleId="DocumentMap">
    <w:name w:val="Document Map"/>
    <w:basedOn w:val="Normal"/>
    <w:link w:val="DocumentMapChar"/>
    <w:uiPriority w:val="99"/>
    <w:semiHidden/>
    <w:unhideWhenUsed/>
    <w:rsid w:val="003D5DF7"/>
    <w:rPr>
      <w:rFonts w:ascii="Lucida Grande" w:hAnsi="Lucida Grande"/>
      <w:szCs w:val="24"/>
    </w:rPr>
  </w:style>
  <w:style w:type="character" w:customStyle="1" w:styleId="DocumentMapChar">
    <w:name w:val="Document Map Char"/>
    <w:basedOn w:val="DefaultParagraphFont"/>
    <w:link w:val="DocumentMap"/>
    <w:uiPriority w:val="99"/>
    <w:semiHidden/>
    <w:rsid w:val="003D5DF7"/>
    <w:rPr>
      <w:rFonts w:ascii="Lucida Grande" w:hAnsi="Lucida Grande" w:cs="Calibri"/>
      <w:sz w:val="24"/>
      <w:szCs w:val="24"/>
      <w:lang w:val="en-GB" w:eastAsia="da-DK" w:bidi="ar-SA"/>
    </w:rPr>
  </w:style>
  <w:style w:type="character" w:customStyle="1" w:styleId="ListParagraphChar">
    <w:name w:val="List Paragraph Char"/>
    <w:basedOn w:val="DefaultParagraphFont"/>
    <w:link w:val="ListParagraph"/>
    <w:uiPriority w:val="34"/>
    <w:rsid w:val="00222BE2"/>
    <w:rPr>
      <w:rFonts w:ascii="Garamond" w:hAnsi="Garamond" w:cs="Calibri"/>
      <w:sz w:val="24"/>
      <w:szCs w:val="26"/>
      <w:lang w:val="en-GB" w:eastAsia="da-DK" w:bidi="ar-SA"/>
    </w:rPr>
  </w:style>
  <w:style w:type="paragraph" w:customStyle="1" w:styleId="Listeafsnit1">
    <w:name w:val="Listeafsnit1"/>
    <w:basedOn w:val="Normal"/>
    <w:rsid w:val="00BD158D"/>
    <w:pPr>
      <w:ind w:left="720"/>
    </w:pPr>
    <w:rPr>
      <w:rFonts w:eastAsia="SimSun" w:cs="Garamond"/>
      <w:sz w:val="26"/>
      <w:lang w:eastAsia="en-US"/>
    </w:rPr>
  </w:style>
  <w:style w:type="character" w:customStyle="1" w:styleId="PlainTextChar">
    <w:name w:val="Plain Text Char"/>
    <w:link w:val="PlainText"/>
    <w:uiPriority w:val="99"/>
    <w:rsid w:val="00B678CE"/>
    <w:rPr>
      <w:rFonts w:ascii="Courier New" w:hAnsi="Courier New" w:cs="Courier New"/>
      <w:lang w:val="en-GB" w:eastAsia="da-DK" w:bidi="ar-SA"/>
    </w:rPr>
  </w:style>
  <w:style w:type="paragraph" w:customStyle="1" w:styleId="AppelnotedebasdepageCharCharCharCharCharCharChar">
    <w:name w:val="Appel note de bas de page Char Char Char Char Char Char Char"/>
    <w:basedOn w:val="Normal"/>
    <w:link w:val="FootnoteReference"/>
    <w:uiPriority w:val="99"/>
    <w:rsid w:val="006C68F4"/>
    <w:pPr>
      <w:jc w:val="both"/>
    </w:pPr>
    <w:rPr>
      <w:rFonts w:ascii="Times New Roman" w:hAnsi="Times New Roman" w:cs="Times New Roman"/>
      <w:sz w:val="20"/>
      <w:szCs w:val="20"/>
      <w:vertAlign w:val="superscript"/>
      <w:lang w:eastAsia="en-US" w:bidi="th-TH"/>
    </w:rPr>
  </w:style>
  <w:style w:type="character" w:customStyle="1" w:styleId="hps">
    <w:name w:val="hps"/>
    <w:basedOn w:val="DefaultParagraphFont"/>
    <w:rsid w:val="00CB35E8"/>
  </w:style>
  <w:style w:type="paragraph" w:styleId="EndnoteText">
    <w:name w:val="endnote text"/>
    <w:basedOn w:val="Normal"/>
    <w:link w:val="EndnoteTextChar"/>
    <w:uiPriority w:val="99"/>
    <w:semiHidden/>
    <w:unhideWhenUsed/>
    <w:rsid w:val="00737015"/>
    <w:rPr>
      <w:sz w:val="20"/>
      <w:szCs w:val="20"/>
    </w:rPr>
  </w:style>
  <w:style w:type="character" w:customStyle="1" w:styleId="EndnoteTextChar">
    <w:name w:val="Endnote Text Char"/>
    <w:basedOn w:val="DefaultParagraphFont"/>
    <w:link w:val="EndnoteText"/>
    <w:uiPriority w:val="99"/>
    <w:semiHidden/>
    <w:rsid w:val="00737015"/>
    <w:rPr>
      <w:rFonts w:ascii="Garamond" w:hAnsi="Garamond" w:cs="Calibri"/>
      <w:lang w:val="en-GB" w:eastAsia="da-DK" w:bidi="ar-SA"/>
    </w:rPr>
  </w:style>
  <w:style w:type="character" w:styleId="EndnoteReference">
    <w:name w:val="endnote reference"/>
    <w:basedOn w:val="DefaultParagraphFont"/>
    <w:uiPriority w:val="99"/>
    <w:semiHidden/>
    <w:unhideWhenUsed/>
    <w:rsid w:val="00737015"/>
    <w:rPr>
      <w:vertAlign w:val="superscript"/>
    </w:rPr>
  </w:style>
  <w:style w:type="character" w:customStyle="1" w:styleId="TitleChar">
    <w:name w:val="Title Char"/>
    <w:link w:val="Title"/>
    <w:uiPriority w:val="10"/>
    <w:rsid w:val="00EB292D"/>
    <w:rPr>
      <w:rFonts w:ascii="Garamond" w:hAnsi="Garamond" w:cs="Calibri"/>
      <w:b/>
      <w:sz w:val="36"/>
      <w:szCs w:val="36"/>
      <w:lang w:val="en-GB" w:eastAsia="da-DK" w:bidi="ar-SA"/>
    </w:rPr>
  </w:style>
  <w:style w:type="character" w:customStyle="1" w:styleId="SubtitleChar">
    <w:name w:val="Subtitle Char"/>
    <w:link w:val="Subtitle"/>
    <w:rsid w:val="00EB292D"/>
    <w:rPr>
      <w:rFonts w:ascii="Garamond" w:hAnsi="Garamond" w:cs="Calibri"/>
      <w:b/>
      <w:sz w:val="36"/>
      <w:szCs w:val="36"/>
      <w:lang w:val="en-GB" w:eastAsia="da-DK" w:bidi="ar-SA"/>
    </w:rPr>
  </w:style>
  <w:style w:type="character" w:styleId="SubtleReference">
    <w:name w:val="Subtle Reference"/>
    <w:uiPriority w:val="31"/>
    <w:qFormat/>
    <w:rsid w:val="00EB292D"/>
    <w:rPr>
      <w:smallCaps/>
      <w:color w:val="C0504D"/>
      <w:u w:val="single"/>
    </w:rPr>
  </w:style>
  <w:style w:type="character" w:styleId="IntenseReference">
    <w:name w:val="Intense Reference"/>
    <w:uiPriority w:val="32"/>
    <w:qFormat/>
    <w:rsid w:val="00EB292D"/>
    <w:rPr>
      <w:b/>
      <w:bCs/>
      <w:smallCaps/>
      <w:color w:val="C0504D"/>
      <w:spacing w:val="5"/>
      <w:u w:val="single"/>
    </w:rPr>
  </w:style>
  <w:style w:type="character" w:customStyle="1" w:styleId="FooterChar">
    <w:name w:val="Footer Char"/>
    <w:basedOn w:val="DefaultParagraphFont"/>
    <w:link w:val="Footer"/>
    <w:uiPriority w:val="99"/>
    <w:rsid w:val="00F7147A"/>
    <w:rPr>
      <w:rFonts w:ascii="Garamond" w:hAnsi="Garamond" w:cs="Calibri"/>
      <w:sz w:val="24"/>
      <w:szCs w:val="26"/>
      <w:lang w:val="en-GB" w:eastAsia="da-DK" w:bidi="ar-SA"/>
    </w:rPr>
  </w:style>
  <w:style w:type="character" w:styleId="Strong">
    <w:name w:val="Strong"/>
    <w:basedOn w:val="DefaultParagraphFont"/>
    <w:uiPriority w:val="22"/>
    <w:qFormat/>
    <w:rsid w:val="00711ECD"/>
    <w:rPr>
      <w:b/>
      <w:bCs/>
    </w:rPr>
  </w:style>
  <w:style w:type="paragraph" w:customStyle="1" w:styleId="Normal1">
    <w:name w:val="Normal1"/>
    <w:rsid w:val="006922AD"/>
    <w:pPr>
      <w:spacing w:after="200" w:line="276" w:lineRule="auto"/>
    </w:pPr>
    <w:rPr>
      <w:rFonts w:ascii="Calibri" w:eastAsia="Calibri" w:hAnsi="Calibri" w:cs="Calibri"/>
      <w:color w:val="000000"/>
      <w:sz w:val="22"/>
      <w:lang w:eastAsia="ru-RU" w:bidi="ar-SA"/>
    </w:rPr>
  </w:style>
  <w:style w:type="paragraph" w:styleId="NormalWeb">
    <w:name w:val="Normal (Web)"/>
    <w:basedOn w:val="Normal"/>
    <w:uiPriority w:val="99"/>
    <w:unhideWhenUsed/>
    <w:rsid w:val="006922AD"/>
    <w:pPr>
      <w:spacing w:before="100" w:beforeAutospacing="1" w:after="100" w:afterAutospacing="1"/>
    </w:pPr>
    <w:rPr>
      <w:rFonts w:ascii="Times New Roman" w:hAnsi="Times New Roman" w:cs="Times New Roman"/>
      <w:szCs w:val="24"/>
      <w:lang w:val="ru-RU" w:eastAsia="ru-RU"/>
    </w:rPr>
  </w:style>
  <w:style w:type="paragraph" w:customStyle="1" w:styleId="Style11ptJustified">
    <w:name w:val="Style 11 pt Justified"/>
    <w:basedOn w:val="Normal"/>
    <w:rsid w:val="006922AD"/>
    <w:pPr>
      <w:jc w:val="both"/>
    </w:pPr>
    <w:rPr>
      <w:rFonts w:ascii="Calibri" w:hAnsi="Calibri" w:cs="Times New Roman"/>
      <w:szCs w:val="20"/>
    </w:rPr>
  </w:style>
  <w:style w:type="character" w:customStyle="1" w:styleId="Style11pt">
    <w:name w:val="Style 11 pt"/>
    <w:basedOn w:val="DefaultParagraphFont"/>
    <w:rsid w:val="006922AD"/>
    <w:rPr>
      <w:sz w:val="24"/>
    </w:rPr>
  </w:style>
  <w:style w:type="character" w:customStyle="1" w:styleId="apple-converted-space">
    <w:name w:val="apple-converted-space"/>
    <w:basedOn w:val="DefaultParagraphFont"/>
    <w:rsid w:val="00B132E9"/>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uiPriority w:val="99"/>
    <w:rsid w:val="00AC001A"/>
    <w:pPr>
      <w:jc w:val="both"/>
    </w:pPr>
    <w:rPr>
      <w:rFonts w:ascii="Arial" w:eastAsiaTheme="minorHAnsi" w:hAnsi="Arial" w:cstheme="minorBidi"/>
      <w:sz w:val="18"/>
      <w:szCs w:val="22"/>
      <w:vertAlign w:val="superscript"/>
      <w:lang w:val="uk-UA" w:eastAsia="en-US"/>
    </w:rPr>
  </w:style>
  <w:style w:type="character" w:customStyle="1" w:styleId="apple-style-span">
    <w:name w:val="apple-style-span"/>
    <w:basedOn w:val="DefaultParagraphFont"/>
    <w:rsid w:val="00B62EC4"/>
  </w:style>
  <w:style w:type="character" w:styleId="Mention">
    <w:name w:val="Mention"/>
    <w:basedOn w:val="DefaultParagraphFont"/>
    <w:uiPriority w:val="99"/>
    <w:semiHidden/>
    <w:unhideWhenUsed/>
    <w:rsid w:val="001A2049"/>
    <w:rPr>
      <w:color w:val="2B579A"/>
      <w:shd w:val="clear" w:color="auto" w:fill="E6E6E6"/>
    </w:rPr>
  </w:style>
  <w:style w:type="character" w:styleId="Emphasis">
    <w:name w:val="Emphasis"/>
    <w:basedOn w:val="DefaultParagraphFont"/>
    <w:uiPriority w:val="20"/>
    <w:qFormat/>
    <w:rsid w:val="00910B8F"/>
    <w:rPr>
      <w:i/>
      <w:iCs/>
    </w:rPr>
  </w:style>
  <w:style w:type="character" w:styleId="UnresolvedMention">
    <w:name w:val="Unresolved Mention"/>
    <w:basedOn w:val="DefaultParagraphFont"/>
    <w:uiPriority w:val="99"/>
    <w:semiHidden/>
    <w:unhideWhenUsed/>
    <w:rsid w:val="00D552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471">
      <w:bodyDiv w:val="1"/>
      <w:marLeft w:val="0"/>
      <w:marRight w:val="0"/>
      <w:marTop w:val="0"/>
      <w:marBottom w:val="0"/>
      <w:divBdr>
        <w:top w:val="none" w:sz="0" w:space="0" w:color="auto"/>
        <w:left w:val="none" w:sz="0" w:space="0" w:color="auto"/>
        <w:bottom w:val="none" w:sz="0" w:space="0" w:color="auto"/>
        <w:right w:val="none" w:sz="0" w:space="0" w:color="auto"/>
      </w:divBdr>
    </w:div>
    <w:div w:id="68232540">
      <w:bodyDiv w:val="1"/>
      <w:marLeft w:val="0"/>
      <w:marRight w:val="0"/>
      <w:marTop w:val="0"/>
      <w:marBottom w:val="0"/>
      <w:divBdr>
        <w:top w:val="none" w:sz="0" w:space="0" w:color="auto"/>
        <w:left w:val="none" w:sz="0" w:space="0" w:color="auto"/>
        <w:bottom w:val="none" w:sz="0" w:space="0" w:color="auto"/>
        <w:right w:val="none" w:sz="0" w:space="0" w:color="auto"/>
      </w:divBdr>
      <w:divsChild>
        <w:div w:id="483157021">
          <w:marLeft w:val="360"/>
          <w:marRight w:val="0"/>
          <w:marTop w:val="200"/>
          <w:marBottom w:val="0"/>
          <w:divBdr>
            <w:top w:val="none" w:sz="0" w:space="0" w:color="auto"/>
            <w:left w:val="none" w:sz="0" w:space="0" w:color="auto"/>
            <w:bottom w:val="none" w:sz="0" w:space="0" w:color="auto"/>
            <w:right w:val="none" w:sz="0" w:space="0" w:color="auto"/>
          </w:divBdr>
        </w:div>
        <w:div w:id="775559062">
          <w:marLeft w:val="360"/>
          <w:marRight w:val="0"/>
          <w:marTop w:val="200"/>
          <w:marBottom w:val="0"/>
          <w:divBdr>
            <w:top w:val="none" w:sz="0" w:space="0" w:color="auto"/>
            <w:left w:val="none" w:sz="0" w:space="0" w:color="auto"/>
            <w:bottom w:val="none" w:sz="0" w:space="0" w:color="auto"/>
            <w:right w:val="none" w:sz="0" w:space="0" w:color="auto"/>
          </w:divBdr>
        </w:div>
        <w:div w:id="1263145578">
          <w:marLeft w:val="360"/>
          <w:marRight w:val="0"/>
          <w:marTop w:val="200"/>
          <w:marBottom w:val="0"/>
          <w:divBdr>
            <w:top w:val="none" w:sz="0" w:space="0" w:color="auto"/>
            <w:left w:val="none" w:sz="0" w:space="0" w:color="auto"/>
            <w:bottom w:val="none" w:sz="0" w:space="0" w:color="auto"/>
            <w:right w:val="none" w:sz="0" w:space="0" w:color="auto"/>
          </w:divBdr>
        </w:div>
        <w:div w:id="1757245806">
          <w:marLeft w:val="360"/>
          <w:marRight w:val="0"/>
          <w:marTop w:val="200"/>
          <w:marBottom w:val="0"/>
          <w:divBdr>
            <w:top w:val="none" w:sz="0" w:space="0" w:color="auto"/>
            <w:left w:val="none" w:sz="0" w:space="0" w:color="auto"/>
            <w:bottom w:val="none" w:sz="0" w:space="0" w:color="auto"/>
            <w:right w:val="none" w:sz="0" w:space="0" w:color="auto"/>
          </w:divBdr>
        </w:div>
      </w:divsChild>
    </w:div>
    <w:div w:id="70852861">
      <w:bodyDiv w:val="1"/>
      <w:marLeft w:val="0"/>
      <w:marRight w:val="0"/>
      <w:marTop w:val="0"/>
      <w:marBottom w:val="0"/>
      <w:divBdr>
        <w:top w:val="none" w:sz="0" w:space="0" w:color="auto"/>
        <w:left w:val="none" w:sz="0" w:space="0" w:color="auto"/>
        <w:bottom w:val="none" w:sz="0" w:space="0" w:color="auto"/>
        <w:right w:val="none" w:sz="0" w:space="0" w:color="auto"/>
      </w:divBdr>
    </w:div>
    <w:div w:id="102964028">
      <w:bodyDiv w:val="1"/>
      <w:marLeft w:val="0"/>
      <w:marRight w:val="0"/>
      <w:marTop w:val="0"/>
      <w:marBottom w:val="0"/>
      <w:divBdr>
        <w:top w:val="none" w:sz="0" w:space="0" w:color="auto"/>
        <w:left w:val="none" w:sz="0" w:space="0" w:color="auto"/>
        <w:bottom w:val="none" w:sz="0" w:space="0" w:color="auto"/>
        <w:right w:val="none" w:sz="0" w:space="0" w:color="auto"/>
      </w:divBdr>
    </w:div>
    <w:div w:id="155650213">
      <w:bodyDiv w:val="1"/>
      <w:marLeft w:val="0"/>
      <w:marRight w:val="0"/>
      <w:marTop w:val="0"/>
      <w:marBottom w:val="0"/>
      <w:divBdr>
        <w:top w:val="none" w:sz="0" w:space="0" w:color="auto"/>
        <w:left w:val="none" w:sz="0" w:space="0" w:color="auto"/>
        <w:bottom w:val="none" w:sz="0" w:space="0" w:color="auto"/>
        <w:right w:val="none" w:sz="0" w:space="0" w:color="auto"/>
      </w:divBdr>
    </w:div>
    <w:div w:id="174923881">
      <w:bodyDiv w:val="1"/>
      <w:marLeft w:val="0"/>
      <w:marRight w:val="0"/>
      <w:marTop w:val="0"/>
      <w:marBottom w:val="0"/>
      <w:divBdr>
        <w:top w:val="none" w:sz="0" w:space="0" w:color="auto"/>
        <w:left w:val="none" w:sz="0" w:space="0" w:color="auto"/>
        <w:bottom w:val="none" w:sz="0" w:space="0" w:color="auto"/>
        <w:right w:val="none" w:sz="0" w:space="0" w:color="auto"/>
      </w:divBdr>
      <w:divsChild>
        <w:div w:id="124274243">
          <w:marLeft w:val="317"/>
          <w:marRight w:val="0"/>
          <w:marTop w:val="0"/>
          <w:marBottom w:val="0"/>
          <w:divBdr>
            <w:top w:val="none" w:sz="0" w:space="0" w:color="auto"/>
            <w:left w:val="none" w:sz="0" w:space="0" w:color="auto"/>
            <w:bottom w:val="none" w:sz="0" w:space="0" w:color="auto"/>
            <w:right w:val="none" w:sz="0" w:space="0" w:color="auto"/>
          </w:divBdr>
        </w:div>
      </w:divsChild>
    </w:div>
    <w:div w:id="197163351">
      <w:bodyDiv w:val="1"/>
      <w:marLeft w:val="0"/>
      <w:marRight w:val="0"/>
      <w:marTop w:val="0"/>
      <w:marBottom w:val="0"/>
      <w:divBdr>
        <w:top w:val="none" w:sz="0" w:space="0" w:color="auto"/>
        <w:left w:val="none" w:sz="0" w:space="0" w:color="auto"/>
        <w:bottom w:val="none" w:sz="0" w:space="0" w:color="auto"/>
        <w:right w:val="none" w:sz="0" w:space="0" w:color="auto"/>
      </w:divBdr>
    </w:div>
    <w:div w:id="318078914">
      <w:bodyDiv w:val="1"/>
      <w:marLeft w:val="0"/>
      <w:marRight w:val="0"/>
      <w:marTop w:val="0"/>
      <w:marBottom w:val="0"/>
      <w:divBdr>
        <w:top w:val="none" w:sz="0" w:space="0" w:color="auto"/>
        <w:left w:val="none" w:sz="0" w:space="0" w:color="auto"/>
        <w:bottom w:val="none" w:sz="0" w:space="0" w:color="auto"/>
        <w:right w:val="none" w:sz="0" w:space="0" w:color="auto"/>
      </w:divBdr>
    </w:div>
    <w:div w:id="359824699">
      <w:bodyDiv w:val="1"/>
      <w:marLeft w:val="0"/>
      <w:marRight w:val="0"/>
      <w:marTop w:val="0"/>
      <w:marBottom w:val="0"/>
      <w:divBdr>
        <w:top w:val="none" w:sz="0" w:space="0" w:color="auto"/>
        <w:left w:val="none" w:sz="0" w:space="0" w:color="auto"/>
        <w:bottom w:val="none" w:sz="0" w:space="0" w:color="auto"/>
        <w:right w:val="none" w:sz="0" w:space="0" w:color="auto"/>
      </w:divBdr>
    </w:div>
    <w:div w:id="368535367">
      <w:bodyDiv w:val="1"/>
      <w:marLeft w:val="0"/>
      <w:marRight w:val="0"/>
      <w:marTop w:val="0"/>
      <w:marBottom w:val="0"/>
      <w:divBdr>
        <w:top w:val="none" w:sz="0" w:space="0" w:color="auto"/>
        <w:left w:val="none" w:sz="0" w:space="0" w:color="auto"/>
        <w:bottom w:val="none" w:sz="0" w:space="0" w:color="auto"/>
        <w:right w:val="none" w:sz="0" w:space="0" w:color="auto"/>
      </w:divBdr>
    </w:div>
    <w:div w:id="383410967">
      <w:bodyDiv w:val="1"/>
      <w:marLeft w:val="0"/>
      <w:marRight w:val="0"/>
      <w:marTop w:val="0"/>
      <w:marBottom w:val="0"/>
      <w:divBdr>
        <w:top w:val="none" w:sz="0" w:space="0" w:color="auto"/>
        <w:left w:val="none" w:sz="0" w:space="0" w:color="auto"/>
        <w:bottom w:val="none" w:sz="0" w:space="0" w:color="auto"/>
        <w:right w:val="none" w:sz="0" w:space="0" w:color="auto"/>
      </w:divBdr>
    </w:div>
    <w:div w:id="419103131">
      <w:bodyDiv w:val="1"/>
      <w:marLeft w:val="0"/>
      <w:marRight w:val="0"/>
      <w:marTop w:val="0"/>
      <w:marBottom w:val="0"/>
      <w:divBdr>
        <w:top w:val="none" w:sz="0" w:space="0" w:color="auto"/>
        <w:left w:val="none" w:sz="0" w:space="0" w:color="auto"/>
        <w:bottom w:val="none" w:sz="0" w:space="0" w:color="auto"/>
        <w:right w:val="none" w:sz="0" w:space="0" w:color="auto"/>
      </w:divBdr>
    </w:div>
    <w:div w:id="497382282">
      <w:bodyDiv w:val="1"/>
      <w:marLeft w:val="0"/>
      <w:marRight w:val="0"/>
      <w:marTop w:val="0"/>
      <w:marBottom w:val="0"/>
      <w:divBdr>
        <w:top w:val="none" w:sz="0" w:space="0" w:color="auto"/>
        <w:left w:val="none" w:sz="0" w:space="0" w:color="auto"/>
        <w:bottom w:val="none" w:sz="0" w:space="0" w:color="auto"/>
        <w:right w:val="none" w:sz="0" w:space="0" w:color="auto"/>
      </w:divBdr>
    </w:div>
    <w:div w:id="510335702">
      <w:bodyDiv w:val="1"/>
      <w:marLeft w:val="0"/>
      <w:marRight w:val="0"/>
      <w:marTop w:val="0"/>
      <w:marBottom w:val="0"/>
      <w:divBdr>
        <w:top w:val="none" w:sz="0" w:space="0" w:color="auto"/>
        <w:left w:val="none" w:sz="0" w:space="0" w:color="auto"/>
        <w:bottom w:val="none" w:sz="0" w:space="0" w:color="auto"/>
        <w:right w:val="none" w:sz="0" w:space="0" w:color="auto"/>
      </w:divBdr>
    </w:div>
    <w:div w:id="515387819">
      <w:bodyDiv w:val="1"/>
      <w:marLeft w:val="0"/>
      <w:marRight w:val="0"/>
      <w:marTop w:val="0"/>
      <w:marBottom w:val="0"/>
      <w:divBdr>
        <w:top w:val="none" w:sz="0" w:space="0" w:color="auto"/>
        <w:left w:val="none" w:sz="0" w:space="0" w:color="auto"/>
        <w:bottom w:val="none" w:sz="0" w:space="0" w:color="auto"/>
        <w:right w:val="none" w:sz="0" w:space="0" w:color="auto"/>
      </w:divBdr>
    </w:div>
    <w:div w:id="531504650">
      <w:bodyDiv w:val="1"/>
      <w:marLeft w:val="0"/>
      <w:marRight w:val="0"/>
      <w:marTop w:val="0"/>
      <w:marBottom w:val="0"/>
      <w:divBdr>
        <w:top w:val="none" w:sz="0" w:space="0" w:color="auto"/>
        <w:left w:val="none" w:sz="0" w:space="0" w:color="auto"/>
        <w:bottom w:val="none" w:sz="0" w:space="0" w:color="auto"/>
        <w:right w:val="none" w:sz="0" w:space="0" w:color="auto"/>
      </w:divBdr>
    </w:div>
    <w:div w:id="546920144">
      <w:bodyDiv w:val="1"/>
      <w:marLeft w:val="0"/>
      <w:marRight w:val="0"/>
      <w:marTop w:val="0"/>
      <w:marBottom w:val="0"/>
      <w:divBdr>
        <w:top w:val="none" w:sz="0" w:space="0" w:color="auto"/>
        <w:left w:val="none" w:sz="0" w:space="0" w:color="auto"/>
        <w:bottom w:val="none" w:sz="0" w:space="0" w:color="auto"/>
        <w:right w:val="none" w:sz="0" w:space="0" w:color="auto"/>
      </w:divBdr>
    </w:div>
    <w:div w:id="571306522">
      <w:bodyDiv w:val="1"/>
      <w:marLeft w:val="0"/>
      <w:marRight w:val="0"/>
      <w:marTop w:val="0"/>
      <w:marBottom w:val="0"/>
      <w:divBdr>
        <w:top w:val="none" w:sz="0" w:space="0" w:color="auto"/>
        <w:left w:val="none" w:sz="0" w:space="0" w:color="auto"/>
        <w:bottom w:val="none" w:sz="0" w:space="0" w:color="auto"/>
        <w:right w:val="none" w:sz="0" w:space="0" w:color="auto"/>
      </w:divBdr>
    </w:div>
    <w:div w:id="597561917">
      <w:bodyDiv w:val="1"/>
      <w:marLeft w:val="0"/>
      <w:marRight w:val="0"/>
      <w:marTop w:val="0"/>
      <w:marBottom w:val="0"/>
      <w:divBdr>
        <w:top w:val="none" w:sz="0" w:space="0" w:color="auto"/>
        <w:left w:val="none" w:sz="0" w:space="0" w:color="auto"/>
        <w:bottom w:val="none" w:sz="0" w:space="0" w:color="auto"/>
        <w:right w:val="none" w:sz="0" w:space="0" w:color="auto"/>
      </w:divBdr>
    </w:div>
    <w:div w:id="603152265">
      <w:bodyDiv w:val="1"/>
      <w:marLeft w:val="0"/>
      <w:marRight w:val="0"/>
      <w:marTop w:val="0"/>
      <w:marBottom w:val="0"/>
      <w:divBdr>
        <w:top w:val="none" w:sz="0" w:space="0" w:color="auto"/>
        <w:left w:val="none" w:sz="0" w:space="0" w:color="auto"/>
        <w:bottom w:val="none" w:sz="0" w:space="0" w:color="auto"/>
        <w:right w:val="none" w:sz="0" w:space="0" w:color="auto"/>
      </w:divBdr>
    </w:div>
    <w:div w:id="647907361">
      <w:bodyDiv w:val="1"/>
      <w:marLeft w:val="0"/>
      <w:marRight w:val="0"/>
      <w:marTop w:val="0"/>
      <w:marBottom w:val="0"/>
      <w:divBdr>
        <w:top w:val="none" w:sz="0" w:space="0" w:color="auto"/>
        <w:left w:val="none" w:sz="0" w:space="0" w:color="auto"/>
        <w:bottom w:val="none" w:sz="0" w:space="0" w:color="auto"/>
        <w:right w:val="none" w:sz="0" w:space="0" w:color="auto"/>
      </w:divBdr>
    </w:div>
    <w:div w:id="671837041">
      <w:bodyDiv w:val="1"/>
      <w:marLeft w:val="0"/>
      <w:marRight w:val="0"/>
      <w:marTop w:val="0"/>
      <w:marBottom w:val="0"/>
      <w:divBdr>
        <w:top w:val="none" w:sz="0" w:space="0" w:color="auto"/>
        <w:left w:val="none" w:sz="0" w:space="0" w:color="auto"/>
        <w:bottom w:val="none" w:sz="0" w:space="0" w:color="auto"/>
        <w:right w:val="none" w:sz="0" w:space="0" w:color="auto"/>
      </w:divBdr>
    </w:div>
    <w:div w:id="684282075">
      <w:bodyDiv w:val="1"/>
      <w:marLeft w:val="0"/>
      <w:marRight w:val="0"/>
      <w:marTop w:val="0"/>
      <w:marBottom w:val="0"/>
      <w:divBdr>
        <w:top w:val="none" w:sz="0" w:space="0" w:color="auto"/>
        <w:left w:val="none" w:sz="0" w:space="0" w:color="auto"/>
        <w:bottom w:val="none" w:sz="0" w:space="0" w:color="auto"/>
        <w:right w:val="none" w:sz="0" w:space="0" w:color="auto"/>
      </w:divBdr>
    </w:div>
    <w:div w:id="700059897">
      <w:bodyDiv w:val="1"/>
      <w:marLeft w:val="0"/>
      <w:marRight w:val="0"/>
      <w:marTop w:val="0"/>
      <w:marBottom w:val="0"/>
      <w:divBdr>
        <w:top w:val="none" w:sz="0" w:space="0" w:color="auto"/>
        <w:left w:val="none" w:sz="0" w:space="0" w:color="auto"/>
        <w:bottom w:val="none" w:sz="0" w:space="0" w:color="auto"/>
        <w:right w:val="none" w:sz="0" w:space="0" w:color="auto"/>
      </w:divBdr>
    </w:div>
    <w:div w:id="710571530">
      <w:bodyDiv w:val="1"/>
      <w:marLeft w:val="0"/>
      <w:marRight w:val="0"/>
      <w:marTop w:val="0"/>
      <w:marBottom w:val="0"/>
      <w:divBdr>
        <w:top w:val="none" w:sz="0" w:space="0" w:color="auto"/>
        <w:left w:val="none" w:sz="0" w:space="0" w:color="auto"/>
        <w:bottom w:val="none" w:sz="0" w:space="0" w:color="auto"/>
        <w:right w:val="none" w:sz="0" w:space="0" w:color="auto"/>
      </w:divBdr>
    </w:div>
    <w:div w:id="715012578">
      <w:bodyDiv w:val="1"/>
      <w:marLeft w:val="0"/>
      <w:marRight w:val="0"/>
      <w:marTop w:val="0"/>
      <w:marBottom w:val="0"/>
      <w:divBdr>
        <w:top w:val="none" w:sz="0" w:space="0" w:color="auto"/>
        <w:left w:val="none" w:sz="0" w:space="0" w:color="auto"/>
        <w:bottom w:val="none" w:sz="0" w:space="0" w:color="auto"/>
        <w:right w:val="none" w:sz="0" w:space="0" w:color="auto"/>
      </w:divBdr>
    </w:div>
    <w:div w:id="729033586">
      <w:bodyDiv w:val="1"/>
      <w:marLeft w:val="0"/>
      <w:marRight w:val="0"/>
      <w:marTop w:val="0"/>
      <w:marBottom w:val="0"/>
      <w:divBdr>
        <w:top w:val="none" w:sz="0" w:space="0" w:color="auto"/>
        <w:left w:val="none" w:sz="0" w:space="0" w:color="auto"/>
        <w:bottom w:val="none" w:sz="0" w:space="0" w:color="auto"/>
        <w:right w:val="none" w:sz="0" w:space="0" w:color="auto"/>
      </w:divBdr>
    </w:div>
    <w:div w:id="736823445">
      <w:bodyDiv w:val="1"/>
      <w:marLeft w:val="0"/>
      <w:marRight w:val="0"/>
      <w:marTop w:val="0"/>
      <w:marBottom w:val="0"/>
      <w:divBdr>
        <w:top w:val="none" w:sz="0" w:space="0" w:color="auto"/>
        <w:left w:val="none" w:sz="0" w:space="0" w:color="auto"/>
        <w:bottom w:val="none" w:sz="0" w:space="0" w:color="auto"/>
        <w:right w:val="none" w:sz="0" w:space="0" w:color="auto"/>
      </w:divBdr>
    </w:div>
    <w:div w:id="741754787">
      <w:bodyDiv w:val="1"/>
      <w:marLeft w:val="0"/>
      <w:marRight w:val="0"/>
      <w:marTop w:val="0"/>
      <w:marBottom w:val="0"/>
      <w:divBdr>
        <w:top w:val="none" w:sz="0" w:space="0" w:color="auto"/>
        <w:left w:val="none" w:sz="0" w:space="0" w:color="auto"/>
        <w:bottom w:val="none" w:sz="0" w:space="0" w:color="auto"/>
        <w:right w:val="none" w:sz="0" w:space="0" w:color="auto"/>
      </w:divBdr>
    </w:div>
    <w:div w:id="748161531">
      <w:bodyDiv w:val="1"/>
      <w:marLeft w:val="80"/>
      <w:marRight w:val="80"/>
      <w:marTop w:val="0"/>
      <w:marBottom w:val="80"/>
      <w:divBdr>
        <w:top w:val="none" w:sz="0" w:space="0" w:color="auto"/>
        <w:left w:val="none" w:sz="0" w:space="0" w:color="auto"/>
        <w:bottom w:val="none" w:sz="0" w:space="0" w:color="auto"/>
        <w:right w:val="none" w:sz="0" w:space="0" w:color="auto"/>
      </w:divBdr>
      <w:divsChild>
        <w:div w:id="1454442364">
          <w:marLeft w:val="0"/>
          <w:marRight w:val="0"/>
          <w:marTop w:val="0"/>
          <w:marBottom w:val="0"/>
          <w:divBdr>
            <w:top w:val="none" w:sz="0" w:space="0" w:color="auto"/>
            <w:left w:val="none" w:sz="0" w:space="0" w:color="auto"/>
            <w:bottom w:val="none" w:sz="0" w:space="0" w:color="auto"/>
            <w:right w:val="none" w:sz="0" w:space="0" w:color="auto"/>
          </w:divBdr>
          <w:divsChild>
            <w:div w:id="895508933">
              <w:marLeft w:val="0"/>
              <w:marRight w:val="0"/>
              <w:marTop w:val="0"/>
              <w:marBottom w:val="0"/>
              <w:divBdr>
                <w:top w:val="none" w:sz="0" w:space="0" w:color="auto"/>
                <w:left w:val="none" w:sz="0" w:space="0" w:color="auto"/>
                <w:bottom w:val="none" w:sz="0" w:space="0" w:color="auto"/>
                <w:right w:val="none" w:sz="0" w:space="0" w:color="auto"/>
              </w:divBdr>
              <w:divsChild>
                <w:div w:id="5421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0770">
      <w:bodyDiv w:val="1"/>
      <w:marLeft w:val="0"/>
      <w:marRight w:val="0"/>
      <w:marTop w:val="0"/>
      <w:marBottom w:val="0"/>
      <w:divBdr>
        <w:top w:val="none" w:sz="0" w:space="0" w:color="auto"/>
        <w:left w:val="none" w:sz="0" w:space="0" w:color="auto"/>
        <w:bottom w:val="none" w:sz="0" w:space="0" w:color="auto"/>
        <w:right w:val="none" w:sz="0" w:space="0" w:color="auto"/>
      </w:divBdr>
    </w:div>
    <w:div w:id="859852778">
      <w:bodyDiv w:val="1"/>
      <w:marLeft w:val="0"/>
      <w:marRight w:val="0"/>
      <w:marTop w:val="0"/>
      <w:marBottom w:val="0"/>
      <w:divBdr>
        <w:top w:val="none" w:sz="0" w:space="0" w:color="auto"/>
        <w:left w:val="none" w:sz="0" w:space="0" w:color="auto"/>
        <w:bottom w:val="none" w:sz="0" w:space="0" w:color="auto"/>
        <w:right w:val="none" w:sz="0" w:space="0" w:color="auto"/>
      </w:divBdr>
    </w:div>
    <w:div w:id="925335496">
      <w:bodyDiv w:val="1"/>
      <w:marLeft w:val="0"/>
      <w:marRight w:val="0"/>
      <w:marTop w:val="0"/>
      <w:marBottom w:val="0"/>
      <w:divBdr>
        <w:top w:val="none" w:sz="0" w:space="0" w:color="auto"/>
        <w:left w:val="none" w:sz="0" w:space="0" w:color="auto"/>
        <w:bottom w:val="none" w:sz="0" w:space="0" w:color="auto"/>
        <w:right w:val="none" w:sz="0" w:space="0" w:color="auto"/>
      </w:divBdr>
    </w:div>
    <w:div w:id="1062484368">
      <w:bodyDiv w:val="1"/>
      <w:marLeft w:val="0"/>
      <w:marRight w:val="0"/>
      <w:marTop w:val="0"/>
      <w:marBottom w:val="0"/>
      <w:divBdr>
        <w:top w:val="none" w:sz="0" w:space="0" w:color="auto"/>
        <w:left w:val="none" w:sz="0" w:space="0" w:color="auto"/>
        <w:bottom w:val="none" w:sz="0" w:space="0" w:color="auto"/>
        <w:right w:val="none" w:sz="0" w:space="0" w:color="auto"/>
      </w:divBdr>
    </w:div>
    <w:div w:id="1098213587">
      <w:bodyDiv w:val="1"/>
      <w:marLeft w:val="0"/>
      <w:marRight w:val="0"/>
      <w:marTop w:val="0"/>
      <w:marBottom w:val="0"/>
      <w:divBdr>
        <w:top w:val="none" w:sz="0" w:space="0" w:color="auto"/>
        <w:left w:val="none" w:sz="0" w:space="0" w:color="auto"/>
        <w:bottom w:val="none" w:sz="0" w:space="0" w:color="auto"/>
        <w:right w:val="none" w:sz="0" w:space="0" w:color="auto"/>
      </w:divBdr>
      <w:divsChild>
        <w:div w:id="1209295604">
          <w:marLeft w:val="317"/>
          <w:marRight w:val="0"/>
          <w:marTop w:val="0"/>
          <w:marBottom w:val="0"/>
          <w:divBdr>
            <w:top w:val="none" w:sz="0" w:space="0" w:color="auto"/>
            <w:left w:val="none" w:sz="0" w:space="0" w:color="auto"/>
            <w:bottom w:val="none" w:sz="0" w:space="0" w:color="auto"/>
            <w:right w:val="none" w:sz="0" w:space="0" w:color="auto"/>
          </w:divBdr>
        </w:div>
      </w:divsChild>
    </w:div>
    <w:div w:id="1101686055">
      <w:bodyDiv w:val="1"/>
      <w:marLeft w:val="0"/>
      <w:marRight w:val="0"/>
      <w:marTop w:val="0"/>
      <w:marBottom w:val="0"/>
      <w:divBdr>
        <w:top w:val="none" w:sz="0" w:space="0" w:color="auto"/>
        <w:left w:val="none" w:sz="0" w:space="0" w:color="auto"/>
        <w:bottom w:val="none" w:sz="0" w:space="0" w:color="auto"/>
        <w:right w:val="none" w:sz="0" w:space="0" w:color="auto"/>
      </w:divBdr>
    </w:div>
    <w:div w:id="1119374761">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235317694">
      <w:bodyDiv w:val="1"/>
      <w:marLeft w:val="0"/>
      <w:marRight w:val="0"/>
      <w:marTop w:val="0"/>
      <w:marBottom w:val="0"/>
      <w:divBdr>
        <w:top w:val="none" w:sz="0" w:space="0" w:color="auto"/>
        <w:left w:val="none" w:sz="0" w:space="0" w:color="auto"/>
        <w:bottom w:val="none" w:sz="0" w:space="0" w:color="auto"/>
        <w:right w:val="none" w:sz="0" w:space="0" w:color="auto"/>
      </w:divBdr>
      <w:divsChild>
        <w:div w:id="860968545">
          <w:marLeft w:val="547"/>
          <w:marRight w:val="0"/>
          <w:marTop w:val="154"/>
          <w:marBottom w:val="0"/>
          <w:divBdr>
            <w:top w:val="none" w:sz="0" w:space="0" w:color="auto"/>
            <w:left w:val="none" w:sz="0" w:space="0" w:color="auto"/>
            <w:bottom w:val="none" w:sz="0" w:space="0" w:color="auto"/>
            <w:right w:val="none" w:sz="0" w:space="0" w:color="auto"/>
          </w:divBdr>
        </w:div>
        <w:div w:id="1784573044">
          <w:marLeft w:val="547"/>
          <w:marRight w:val="0"/>
          <w:marTop w:val="154"/>
          <w:marBottom w:val="0"/>
          <w:divBdr>
            <w:top w:val="none" w:sz="0" w:space="0" w:color="auto"/>
            <w:left w:val="none" w:sz="0" w:space="0" w:color="auto"/>
            <w:bottom w:val="none" w:sz="0" w:space="0" w:color="auto"/>
            <w:right w:val="none" w:sz="0" w:space="0" w:color="auto"/>
          </w:divBdr>
        </w:div>
      </w:divsChild>
    </w:div>
    <w:div w:id="1274284959">
      <w:bodyDiv w:val="1"/>
      <w:marLeft w:val="0"/>
      <w:marRight w:val="0"/>
      <w:marTop w:val="0"/>
      <w:marBottom w:val="0"/>
      <w:divBdr>
        <w:top w:val="none" w:sz="0" w:space="0" w:color="auto"/>
        <w:left w:val="none" w:sz="0" w:space="0" w:color="auto"/>
        <w:bottom w:val="none" w:sz="0" w:space="0" w:color="auto"/>
        <w:right w:val="none" w:sz="0" w:space="0" w:color="auto"/>
      </w:divBdr>
    </w:div>
    <w:div w:id="1298217064">
      <w:bodyDiv w:val="1"/>
      <w:marLeft w:val="0"/>
      <w:marRight w:val="0"/>
      <w:marTop w:val="0"/>
      <w:marBottom w:val="0"/>
      <w:divBdr>
        <w:top w:val="none" w:sz="0" w:space="0" w:color="auto"/>
        <w:left w:val="none" w:sz="0" w:space="0" w:color="auto"/>
        <w:bottom w:val="none" w:sz="0" w:space="0" w:color="auto"/>
        <w:right w:val="none" w:sz="0" w:space="0" w:color="auto"/>
      </w:divBdr>
      <w:divsChild>
        <w:div w:id="54398972">
          <w:marLeft w:val="360"/>
          <w:marRight w:val="0"/>
          <w:marTop w:val="200"/>
          <w:marBottom w:val="0"/>
          <w:divBdr>
            <w:top w:val="none" w:sz="0" w:space="0" w:color="auto"/>
            <w:left w:val="none" w:sz="0" w:space="0" w:color="auto"/>
            <w:bottom w:val="none" w:sz="0" w:space="0" w:color="auto"/>
            <w:right w:val="none" w:sz="0" w:space="0" w:color="auto"/>
          </w:divBdr>
        </w:div>
        <w:div w:id="343678052">
          <w:marLeft w:val="360"/>
          <w:marRight w:val="0"/>
          <w:marTop w:val="200"/>
          <w:marBottom w:val="0"/>
          <w:divBdr>
            <w:top w:val="none" w:sz="0" w:space="0" w:color="auto"/>
            <w:left w:val="none" w:sz="0" w:space="0" w:color="auto"/>
            <w:bottom w:val="none" w:sz="0" w:space="0" w:color="auto"/>
            <w:right w:val="none" w:sz="0" w:space="0" w:color="auto"/>
          </w:divBdr>
        </w:div>
        <w:div w:id="1410225017">
          <w:marLeft w:val="360"/>
          <w:marRight w:val="0"/>
          <w:marTop w:val="200"/>
          <w:marBottom w:val="0"/>
          <w:divBdr>
            <w:top w:val="none" w:sz="0" w:space="0" w:color="auto"/>
            <w:left w:val="none" w:sz="0" w:space="0" w:color="auto"/>
            <w:bottom w:val="none" w:sz="0" w:space="0" w:color="auto"/>
            <w:right w:val="none" w:sz="0" w:space="0" w:color="auto"/>
          </w:divBdr>
        </w:div>
      </w:divsChild>
    </w:div>
    <w:div w:id="1302072749">
      <w:bodyDiv w:val="1"/>
      <w:marLeft w:val="0"/>
      <w:marRight w:val="0"/>
      <w:marTop w:val="0"/>
      <w:marBottom w:val="0"/>
      <w:divBdr>
        <w:top w:val="none" w:sz="0" w:space="0" w:color="auto"/>
        <w:left w:val="none" w:sz="0" w:space="0" w:color="auto"/>
        <w:bottom w:val="none" w:sz="0" w:space="0" w:color="auto"/>
        <w:right w:val="none" w:sz="0" w:space="0" w:color="auto"/>
      </w:divBdr>
    </w:div>
    <w:div w:id="1313296678">
      <w:bodyDiv w:val="1"/>
      <w:marLeft w:val="0"/>
      <w:marRight w:val="0"/>
      <w:marTop w:val="0"/>
      <w:marBottom w:val="0"/>
      <w:divBdr>
        <w:top w:val="none" w:sz="0" w:space="0" w:color="auto"/>
        <w:left w:val="none" w:sz="0" w:space="0" w:color="auto"/>
        <w:bottom w:val="none" w:sz="0" w:space="0" w:color="auto"/>
        <w:right w:val="none" w:sz="0" w:space="0" w:color="auto"/>
      </w:divBdr>
    </w:div>
    <w:div w:id="1392272666">
      <w:bodyDiv w:val="1"/>
      <w:marLeft w:val="0"/>
      <w:marRight w:val="0"/>
      <w:marTop w:val="0"/>
      <w:marBottom w:val="0"/>
      <w:divBdr>
        <w:top w:val="none" w:sz="0" w:space="0" w:color="auto"/>
        <w:left w:val="none" w:sz="0" w:space="0" w:color="auto"/>
        <w:bottom w:val="none" w:sz="0" w:space="0" w:color="auto"/>
        <w:right w:val="none" w:sz="0" w:space="0" w:color="auto"/>
      </w:divBdr>
    </w:div>
    <w:div w:id="1395618967">
      <w:bodyDiv w:val="1"/>
      <w:marLeft w:val="0"/>
      <w:marRight w:val="0"/>
      <w:marTop w:val="0"/>
      <w:marBottom w:val="0"/>
      <w:divBdr>
        <w:top w:val="none" w:sz="0" w:space="0" w:color="auto"/>
        <w:left w:val="none" w:sz="0" w:space="0" w:color="auto"/>
        <w:bottom w:val="none" w:sz="0" w:space="0" w:color="auto"/>
        <w:right w:val="none" w:sz="0" w:space="0" w:color="auto"/>
      </w:divBdr>
    </w:div>
    <w:div w:id="1441295802">
      <w:bodyDiv w:val="1"/>
      <w:marLeft w:val="0"/>
      <w:marRight w:val="0"/>
      <w:marTop w:val="0"/>
      <w:marBottom w:val="0"/>
      <w:divBdr>
        <w:top w:val="none" w:sz="0" w:space="0" w:color="auto"/>
        <w:left w:val="none" w:sz="0" w:space="0" w:color="auto"/>
        <w:bottom w:val="none" w:sz="0" w:space="0" w:color="auto"/>
        <w:right w:val="none" w:sz="0" w:space="0" w:color="auto"/>
      </w:divBdr>
      <w:divsChild>
        <w:div w:id="607858374">
          <w:marLeft w:val="547"/>
          <w:marRight w:val="0"/>
          <w:marTop w:val="96"/>
          <w:marBottom w:val="0"/>
          <w:divBdr>
            <w:top w:val="none" w:sz="0" w:space="0" w:color="auto"/>
            <w:left w:val="none" w:sz="0" w:space="0" w:color="auto"/>
            <w:bottom w:val="none" w:sz="0" w:space="0" w:color="auto"/>
            <w:right w:val="none" w:sz="0" w:space="0" w:color="auto"/>
          </w:divBdr>
        </w:div>
        <w:div w:id="637952762">
          <w:marLeft w:val="547"/>
          <w:marRight w:val="0"/>
          <w:marTop w:val="96"/>
          <w:marBottom w:val="0"/>
          <w:divBdr>
            <w:top w:val="none" w:sz="0" w:space="0" w:color="auto"/>
            <w:left w:val="none" w:sz="0" w:space="0" w:color="auto"/>
            <w:bottom w:val="none" w:sz="0" w:space="0" w:color="auto"/>
            <w:right w:val="none" w:sz="0" w:space="0" w:color="auto"/>
          </w:divBdr>
        </w:div>
        <w:div w:id="1757050554">
          <w:marLeft w:val="547"/>
          <w:marRight w:val="0"/>
          <w:marTop w:val="96"/>
          <w:marBottom w:val="0"/>
          <w:divBdr>
            <w:top w:val="none" w:sz="0" w:space="0" w:color="auto"/>
            <w:left w:val="none" w:sz="0" w:space="0" w:color="auto"/>
            <w:bottom w:val="none" w:sz="0" w:space="0" w:color="auto"/>
            <w:right w:val="none" w:sz="0" w:space="0" w:color="auto"/>
          </w:divBdr>
        </w:div>
      </w:divsChild>
    </w:div>
    <w:div w:id="1513451865">
      <w:bodyDiv w:val="1"/>
      <w:marLeft w:val="0"/>
      <w:marRight w:val="0"/>
      <w:marTop w:val="0"/>
      <w:marBottom w:val="0"/>
      <w:divBdr>
        <w:top w:val="none" w:sz="0" w:space="0" w:color="auto"/>
        <w:left w:val="none" w:sz="0" w:space="0" w:color="auto"/>
        <w:bottom w:val="none" w:sz="0" w:space="0" w:color="auto"/>
        <w:right w:val="none" w:sz="0" w:space="0" w:color="auto"/>
      </w:divBdr>
    </w:div>
    <w:div w:id="1515265794">
      <w:bodyDiv w:val="1"/>
      <w:marLeft w:val="0"/>
      <w:marRight w:val="0"/>
      <w:marTop w:val="0"/>
      <w:marBottom w:val="0"/>
      <w:divBdr>
        <w:top w:val="none" w:sz="0" w:space="0" w:color="auto"/>
        <w:left w:val="none" w:sz="0" w:space="0" w:color="auto"/>
        <w:bottom w:val="none" w:sz="0" w:space="0" w:color="auto"/>
        <w:right w:val="none" w:sz="0" w:space="0" w:color="auto"/>
      </w:divBdr>
    </w:div>
    <w:div w:id="1518815045">
      <w:bodyDiv w:val="1"/>
      <w:marLeft w:val="0"/>
      <w:marRight w:val="0"/>
      <w:marTop w:val="0"/>
      <w:marBottom w:val="0"/>
      <w:divBdr>
        <w:top w:val="none" w:sz="0" w:space="0" w:color="auto"/>
        <w:left w:val="none" w:sz="0" w:space="0" w:color="auto"/>
        <w:bottom w:val="none" w:sz="0" w:space="0" w:color="auto"/>
        <w:right w:val="none" w:sz="0" w:space="0" w:color="auto"/>
      </w:divBdr>
    </w:div>
    <w:div w:id="1593122147">
      <w:bodyDiv w:val="1"/>
      <w:marLeft w:val="0"/>
      <w:marRight w:val="0"/>
      <w:marTop w:val="0"/>
      <w:marBottom w:val="0"/>
      <w:divBdr>
        <w:top w:val="none" w:sz="0" w:space="0" w:color="auto"/>
        <w:left w:val="none" w:sz="0" w:space="0" w:color="auto"/>
        <w:bottom w:val="none" w:sz="0" w:space="0" w:color="auto"/>
        <w:right w:val="none" w:sz="0" w:space="0" w:color="auto"/>
      </w:divBdr>
    </w:div>
    <w:div w:id="1593468727">
      <w:bodyDiv w:val="1"/>
      <w:marLeft w:val="0"/>
      <w:marRight w:val="0"/>
      <w:marTop w:val="0"/>
      <w:marBottom w:val="0"/>
      <w:divBdr>
        <w:top w:val="none" w:sz="0" w:space="0" w:color="auto"/>
        <w:left w:val="none" w:sz="0" w:space="0" w:color="auto"/>
        <w:bottom w:val="none" w:sz="0" w:space="0" w:color="auto"/>
        <w:right w:val="none" w:sz="0" w:space="0" w:color="auto"/>
      </w:divBdr>
      <w:divsChild>
        <w:div w:id="831801912">
          <w:marLeft w:val="547"/>
          <w:marRight w:val="0"/>
          <w:marTop w:val="134"/>
          <w:marBottom w:val="0"/>
          <w:divBdr>
            <w:top w:val="none" w:sz="0" w:space="0" w:color="auto"/>
            <w:left w:val="none" w:sz="0" w:space="0" w:color="auto"/>
            <w:bottom w:val="none" w:sz="0" w:space="0" w:color="auto"/>
            <w:right w:val="none" w:sz="0" w:space="0" w:color="auto"/>
          </w:divBdr>
        </w:div>
        <w:div w:id="1689746577">
          <w:marLeft w:val="547"/>
          <w:marRight w:val="0"/>
          <w:marTop w:val="134"/>
          <w:marBottom w:val="0"/>
          <w:divBdr>
            <w:top w:val="none" w:sz="0" w:space="0" w:color="auto"/>
            <w:left w:val="none" w:sz="0" w:space="0" w:color="auto"/>
            <w:bottom w:val="none" w:sz="0" w:space="0" w:color="auto"/>
            <w:right w:val="none" w:sz="0" w:space="0" w:color="auto"/>
          </w:divBdr>
        </w:div>
        <w:div w:id="1958753148">
          <w:marLeft w:val="547"/>
          <w:marRight w:val="0"/>
          <w:marTop w:val="134"/>
          <w:marBottom w:val="0"/>
          <w:divBdr>
            <w:top w:val="none" w:sz="0" w:space="0" w:color="auto"/>
            <w:left w:val="none" w:sz="0" w:space="0" w:color="auto"/>
            <w:bottom w:val="none" w:sz="0" w:space="0" w:color="auto"/>
            <w:right w:val="none" w:sz="0" w:space="0" w:color="auto"/>
          </w:divBdr>
        </w:div>
        <w:div w:id="2141805126">
          <w:marLeft w:val="547"/>
          <w:marRight w:val="0"/>
          <w:marTop w:val="134"/>
          <w:marBottom w:val="0"/>
          <w:divBdr>
            <w:top w:val="none" w:sz="0" w:space="0" w:color="auto"/>
            <w:left w:val="none" w:sz="0" w:space="0" w:color="auto"/>
            <w:bottom w:val="none" w:sz="0" w:space="0" w:color="auto"/>
            <w:right w:val="none" w:sz="0" w:space="0" w:color="auto"/>
          </w:divBdr>
        </w:div>
      </w:divsChild>
    </w:div>
    <w:div w:id="1598561335">
      <w:bodyDiv w:val="1"/>
      <w:marLeft w:val="0"/>
      <w:marRight w:val="0"/>
      <w:marTop w:val="0"/>
      <w:marBottom w:val="0"/>
      <w:divBdr>
        <w:top w:val="none" w:sz="0" w:space="0" w:color="auto"/>
        <w:left w:val="none" w:sz="0" w:space="0" w:color="auto"/>
        <w:bottom w:val="none" w:sz="0" w:space="0" w:color="auto"/>
        <w:right w:val="none" w:sz="0" w:space="0" w:color="auto"/>
      </w:divBdr>
    </w:div>
    <w:div w:id="1613659525">
      <w:bodyDiv w:val="1"/>
      <w:marLeft w:val="0"/>
      <w:marRight w:val="0"/>
      <w:marTop w:val="0"/>
      <w:marBottom w:val="0"/>
      <w:divBdr>
        <w:top w:val="none" w:sz="0" w:space="0" w:color="auto"/>
        <w:left w:val="none" w:sz="0" w:space="0" w:color="auto"/>
        <w:bottom w:val="none" w:sz="0" w:space="0" w:color="auto"/>
        <w:right w:val="none" w:sz="0" w:space="0" w:color="auto"/>
      </w:divBdr>
    </w:div>
    <w:div w:id="1626740030">
      <w:bodyDiv w:val="1"/>
      <w:marLeft w:val="0"/>
      <w:marRight w:val="0"/>
      <w:marTop w:val="0"/>
      <w:marBottom w:val="0"/>
      <w:divBdr>
        <w:top w:val="none" w:sz="0" w:space="0" w:color="auto"/>
        <w:left w:val="none" w:sz="0" w:space="0" w:color="auto"/>
        <w:bottom w:val="none" w:sz="0" w:space="0" w:color="auto"/>
        <w:right w:val="none" w:sz="0" w:space="0" w:color="auto"/>
      </w:divBdr>
      <w:divsChild>
        <w:div w:id="1460564485">
          <w:marLeft w:val="1080"/>
          <w:marRight w:val="0"/>
          <w:marTop w:val="100"/>
          <w:marBottom w:val="0"/>
          <w:divBdr>
            <w:top w:val="none" w:sz="0" w:space="0" w:color="auto"/>
            <w:left w:val="none" w:sz="0" w:space="0" w:color="auto"/>
            <w:bottom w:val="none" w:sz="0" w:space="0" w:color="auto"/>
            <w:right w:val="none" w:sz="0" w:space="0" w:color="auto"/>
          </w:divBdr>
        </w:div>
      </w:divsChild>
    </w:div>
    <w:div w:id="1628047955">
      <w:bodyDiv w:val="1"/>
      <w:marLeft w:val="0"/>
      <w:marRight w:val="0"/>
      <w:marTop w:val="0"/>
      <w:marBottom w:val="0"/>
      <w:divBdr>
        <w:top w:val="none" w:sz="0" w:space="0" w:color="auto"/>
        <w:left w:val="none" w:sz="0" w:space="0" w:color="auto"/>
        <w:bottom w:val="none" w:sz="0" w:space="0" w:color="auto"/>
        <w:right w:val="none" w:sz="0" w:space="0" w:color="auto"/>
      </w:divBdr>
    </w:div>
    <w:div w:id="1642879318">
      <w:bodyDiv w:val="1"/>
      <w:marLeft w:val="0"/>
      <w:marRight w:val="0"/>
      <w:marTop w:val="0"/>
      <w:marBottom w:val="0"/>
      <w:divBdr>
        <w:top w:val="none" w:sz="0" w:space="0" w:color="auto"/>
        <w:left w:val="none" w:sz="0" w:space="0" w:color="auto"/>
        <w:bottom w:val="none" w:sz="0" w:space="0" w:color="auto"/>
        <w:right w:val="none" w:sz="0" w:space="0" w:color="auto"/>
      </w:divBdr>
      <w:divsChild>
        <w:div w:id="1147622682">
          <w:marLeft w:val="317"/>
          <w:marRight w:val="0"/>
          <w:marTop w:val="0"/>
          <w:marBottom w:val="0"/>
          <w:divBdr>
            <w:top w:val="none" w:sz="0" w:space="0" w:color="auto"/>
            <w:left w:val="none" w:sz="0" w:space="0" w:color="auto"/>
            <w:bottom w:val="none" w:sz="0" w:space="0" w:color="auto"/>
            <w:right w:val="none" w:sz="0" w:space="0" w:color="auto"/>
          </w:divBdr>
        </w:div>
      </w:divsChild>
    </w:div>
    <w:div w:id="1650092676">
      <w:bodyDiv w:val="1"/>
      <w:marLeft w:val="0"/>
      <w:marRight w:val="0"/>
      <w:marTop w:val="0"/>
      <w:marBottom w:val="0"/>
      <w:divBdr>
        <w:top w:val="none" w:sz="0" w:space="0" w:color="auto"/>
        <w:left w:val="none" w:sz="0" w:space="0" w:color="auto"/>
        <w:bottom w:val="none" w:sz="0" w:space="0" w:color="auto"/>
        <w:right w:val="none" w:sz="0" w:space="0" w:color="auto"/>
      </w:divBdr>
    </w:div>
    <w:div w:id="1699233357">
      <w:bodyDiv w:val="1"/>
      <w:marLeft w:val="0"/>
      <w:marRight w:val="0"/>
      <w:marTop w:val="0"/>
      <w:marBottom w:val="0"/>
      <w:divBdr>
        <w:top w:val="none" w:sz="0" w:space="0" w:color="auto"/>
        <w:left w:val="none" w:sz="0" w:space="0" w:color="auto"/>
        <w:bottom w:val="none" w:sz="0" w:space="0" w:color="auto"/>
        <w:right w:val="none" w:sz="0" w:space="0" w:color="auto"/>
      </w:divBdr>
    </w:div>
    <w:div w:id="1700550176">
      <w:bodyDiv w:val="1"/>
      <w:marLeft w:val="0"/>
      <w:marRight w:val="0"/>
      <w:marTop w:val="0"/>
      <w:marBottom w:val="0"/>
      <w:divBdr>
        <w:top w:val="none" w:sz="0" w:space="0" w:color="auto"/>
        <w:left w:val="none" w:sz="0" w:space="0" w:color="auto"/>
        <w:bottom w:val="none" w:sz="0" w:space="0" w:color="auto"/>
        <w:right w:val="none" w:sz="0" w:space="0" w:color="auto"/>
      </w:divBdr>
    </w:div>
    <w:div w:id="1704205641">
      <w:bodyDiv w:val="1"/>
      <w:marLeft w:val="0"/>
      <w:marRight w:val="0"/>
      <w:marTop w:val="0"/>
      <w:marBottom w:val="0"/>
      <w:divBdr>
        <w:top w:val="none" w:sz="0" w:space="0" w:color="auto"/>
        <w:left w:val="none" w:sz="0" w:space="0" w:color="auto"/>
        <w:bottom w:val="none" w:sz="0" w:space="0" w:color="auto"/>
        <w:right w:val="none" w:sz="0" w:space="0" w:color="auto"/>
      </w:divBdr>
    </w:div>
    <w:div w:id="1706634927">
      <w:bodyDiv w:val="1"/>
      <w:marLeft w:val="0"/>
      <w:marRight w:val="0"/>
      <w:marTop w:val="0"/>
      <w:marBottom w:val="0"/>
      <w:divBdr>
        <w:top w:val="none" w:sz="0" w:space="0" w:color="auto"/>
        <w:left w:val="none" w:sz="0" w:space="0" w:color="auto"/>
        <w:bottom w:val="none" w:sz="0" w:space="0" w:color="auto"/>
        <w:right w:val="none" w:sz="0" w:space="0" w:color="auto"/>
      </w:divBdr>
      <w:divsChild>
        <w:div w:id="112946433">
          <w:marLeft w:val="1037"/>
          <w:marRight w:val="0"/>
          <w:marTop w:val="0"/>
          <w:marBottom w:val="0"/>
          <w:divBdr>
            <w:top w:val="none" w:sz="0" w:space="0" w:color="auto"/>
            <w:left w:val="none" w:sz="0" w:space="0" w:color="auto"/>
            <w:bottom w:val="none" w:sz="0" w:space="0" w:color="auto"/>
            <w:right w:val="none" w:sz="0" w:space="0" w:color="auto"/>
          </w:divBdr>
        </w:div>
        <w:div w:id="380056595">
          <w:marLeft w:val="317"/>
          <w:marRight w:val="0"/>
          <w:marTop w:val="0"/>
          <w:marBottom w:val="0"/>
          <w:divBdr>
            <w:top w:val="none" w:sz="0" w:space="0" w:color="auto"/>
            <w:left w:val="none" w:sz="0" w:space="0" w:color="auto"/>
            <w:bottom w:val="none" w:sz="0" w:space="0" w:color="auto"/>
            <w:right w:val="none" w:sz="0" w:space="0" w:color="auto"/>
          </w:divBdr>
        </w:div>
        <w:div w:id="949311994">
          <w:marLeft w:val="1037"/>
          <w:marRight w:val="0"/>
          <w:marTop w:val="0"/>
          <w:marBottom w:val="0"/>
          <w:divBdr>
            <w:top w:val="none" w:sz="0" w:space="0" w:color="auto"/>
            <w:left w:val="none" w:sz="0" w:space="0" w:color="auto"/>
            <w:bottom w:val="none" w:sz="0" w:space="0" w:color="auto"/>
            <w:right w:val="none" w:sz="0" w:space="0" w:color="auto"/>
          </w:divBdr>
        </w:div>
        <w:div w:id="1658454182">
          <w:marLeft w:val="1037"/>
          <w:marRight w:val="0"/>
          <w:marTop w:val="0"/>
          <w:marBottom w:val="0"/>
          <w:divBdr>
            <w:top w:val="none" w:sz="0" w:space="0" w:color="auto"/>
            <w:left w:val="none" w:sz="0" w:space="0" w:color="auto"/>
            <w:bottom w:val="none" w:sz="0" w:space="0" w:color="auto"/>
            <w:right w:val="none" w:sz="0" w:space="0" w:color="auto"/>
          </w:divBdr>
        </w:div>
      </w:divsChild>
    </w:div>
    <w:div w:id="1753240668">
      <w:bodyDiv w:val="1"/>
      <w:marLeft w:val="0"/>
      <w:marRight w:val="0"/>
      <w:marTop w:val="0"/>
      <w:marBottom w:val="0"/>
      <w:divBdr>
        <w:top w:val="none" w:sz="0" w:space="0" w:color="auto"/>
        <w:left w:val="none" w:sz="0" w:space="0" w:color="auto"/>
        <w:bottom w:val="none" w:sz="0" w:space="0" w:color="auto"/>
        <w:right w:val="none" w:sz="0" w:space="0" w:color="auto"/>
      </w:divBdr>
    </w:div>
    <w:div w:id="1778715318">
      <w:bodyDiv w:val="1"/>
      <w:marLeft w:val="0"/>
      <w:marRight w:val="0"/>
      <w:marTop w:val="0"/>
      <w:marBottom w:val="0"/>
      <w:divBdr>
        <w:top w:val="none" w:sz="0" w:space="0" w:color="auto"/>
        <w:left w:val="none" w:sz="0" w:space="0" w:color="auto"/>
        <w:bottom w:val="none" w:sz="0" w:space="0" w:color="auto"/>
        <w:right w:val="none" w:sz="0" w:space="0" w:color="auto"/>
      </w:divBdr>
    </w:div>
    <w:div w:id="1806191927">
      <w:bodyDiv w:val="1"/>
      <w:marLeft w:val="0"/>
      <w:marRight w:val="0"/>
      <w:marTop w:val="0"/>
      <w:marBottom w:val="0"/>
      <w:divBdr>
        <w:top w:val="none" w:sz="0" w:space="0" w:color="auto"/>
        <w:left w:val="none" w:sz="0" w:space="0" w:color="auto"/>
        <w:bottom w:val="none" w:sz="0" w:space="0" w:color="auto"/>
        <w:right w:val="none" w:sz="0" w:space="0" w:color="auto"/>
      </w:divBdr>
    </w:div>
    <w:div w:id="1823616507">
      <w:bodyDiv w:val="1"/>
      <w:marLeft w:val="0"/>
      <w:marRight w:val="0"/>
      <w:marTop w:val="0"/>
      <w:marBottom w:val="0"/>
      <w:divBdr>
        <w:top w:val="none" w:sz="0" w:space="0" w:color="auto"/>
        <w:left w:val="none" w:sz="0" w:space="0" w:color="auto"/>
        <w:bottom w:val="none" w:sz="0" w:space="0" w:color="auto"/>
        <w:right w:val="none" w:sz="0" w:space="0" w:color="auto"/>
      </w:divBdr>
    </w:div>
    <w:div w:id="1872839037">
      <w:bodyDiv w:val="1"/>
      <w:marLeft w:val="0"/>
      <w:marRight w:val="0"/>
      <w:marTop w:val="0"/>
      <w:marBottom w:val="0"/>
      <w:divBdr>
        <w:top w:val="none" w:sz="0" w:space="0" w:color="auto"/>
        <w:left w:val="none" w:sz="0" w:space="0" w:color="auto"/>
        <w:bottom w:val="none" w:sz="0" w:space="0" w:color="auto"/>
        <w:right w:val="none" w:sz="0" w:space="0" w:color="auto"/>
      </w:divBdr>
    </w:div>
    <w:div w:id="1898203445">
      <w:bodyDiv w:val="1"/>
      <w:marLeft w:val="0"/>
      <w:marRight w:val="0"/>
      <w:marTop w:val="0"/>
      <w:marBottom w:val="0"/>
      <w:divBdr>
        <w:top w:val="none" w:sz="0" w:space="0" w:color="auto"/>
        <w:left w:val="none" w:sz="0" w:space="0" w:color="auto"/>
        <w:bottom w:val="none" w:sz="0" w:space="0" w:color="auto"/>
        <w:right w:val="none" w:sz="0" w:space="0" w:color="auto"/>
      </w:divBdr>
    </w:div>
    <w:div w:id="1958564911">
      <w:bodyDiv w:val="1"/>
      <w:marLeft w:val="0"/>
      <w:marRight w:val="0"/>
      <w:marTop w:val="0"/>
      <w:marBottom w:val="0"/>
      <w:divBdr>
        <w:top w:val="none" w:sz="0" w:space="0" w:color="auto"/>
        <w:left w:val="none" w:sz="0" w:space="0" w:color="auto"/>
        <w:bottom w:val="none" w:sz="0" w:space="0" w:color="auto"/>
        <w:right w:val="none" w:sz="0" w:space="0" w:color="auto"/>
      </w:divBdr>
    </w:div>
    <w:div w:id="1972251417">
      <w:bodyDiv w:val="1"/>
      <w:marLeft w:val="0"/>
      <w:marRight w:val="0"/>
      <w:marTop w:val="0"/>
      <w:marBottom w:val="0"/>
      <w:divBdr>
        <w:top w:val="none" w:sz="0" w:space="0" w:color="auto"/>
        <w:left w:val="none" w:sz="0" w:space="0" w:color="auto"/>
        <w:bottom w:val="none" w:sz="0" w:space="0" w:color="auto"/>
        <w:right w:val="none" w:sz="0" w:space="0" w:color="auto"/>
      </w:divBdr>
    </w:div>
    <w:div w:id="1988821501">
      <w:bodyDiv w:val="1"/>
      <w:marLeft w:val="0"/>
      <w:marRight w:val="0"/>
      <w:marTop w:val="0"/>
      <w:marBottom w:val="0"/>
      <w:divBdr>
        <w:top w:val="none" w:sz="0" w:space="0" w:color="auto"/>
        <w:left w:val="none" w:sz="0" w:space="0" w:color="auto"/>
        <w:bottom w:val="none" w:sz="0" w:space="0" w:color="auto"/>
        <w:right w:val="none" w:sz="0" w:space="0" w:color="auto"/>
      </w:divBdr>
    </w:div>
    <w:div w:id="2026327752">
      <w:bodyDiv w:val="1"/>
      <w:marLeft w:val="0"/>
      <w:marRight w:val="0"/>
      <w:marTop w:val="0"/>
      <w:marBottom w:val="0"/>
      <w:divBdr>
        <w:top w:val="none" w:sz="0" w:space="0" w:color="auto"/>
        <w:left w:val="none" w:sz="0" w:space="0" w:color="auto"/>
        <w:bottom w:val="none" w:sz="0" w:space="0" w:color="auto"/>
        <w:right w:val="none" w:sz="0" w:space="0" w:color="auto"/>
      </w:divBdr>
    </w:div>
    <w:div w:id="2048947700">
      <w:bodyDiv w:val="1"/>
      <w:marLeft w:val="0"/>
      <w:marRight w:val="0"/>
      <w:marTop w:val="0"/>
      <w:marBottom w:val="0"/>
      <w:divBdr>
        <w:top w:val="none" w:sz="0" w:space="0" w:color="auto"/>
        <w:left w:val="none" w:sz="0" w:space="0" w:color="auto"/>
        <w:bottom w:val="none" w:sz="0" w:space="0" w:color="auto"/>
        <w:right w:val="none" w:sz="0" w:space="0" w:color="auto"/>
      </w:divBdr>
    </w:div>
    <w:div w:id="2073653329">
      <w:bodyDiv w:val="1"/>
      <w:marLeft w:val="0"/>
      <w:marRight w:val="0"/>
      <w:marTop w:val="0"/>
      <w:marBottom w:val="0"/>
      <w:divBdr>
        <w:top w:val="none" w:sz="0" w:space="0" w:color="auto"/>
        <w:left w:val="none" w:sz="0" w:space="0" w:color="auto"/>
        <w:bottom w:val="none" w:sz="0" w:space="0" w:color="auto"/>
        <w:right w:val="none" w:sz="0" w:space="0" w:color="auto"/>
      </w:divBdr>
    </w:div>
    <w:div w:id="2114010995">
      <w:bodyDiv w:val="1"/>
      <w:marLeft w:val="0"/>
      <w:marRight w:val="0"/>
      <w:marTop w:val="0"/>
      <w:marBottom w:val="0"/>
      <w:divBdr>
        <w:top w:val="none" w:sz="0" w:space="0" w:color="auto"/>
        <w:left w:val="none" w:sz="0" w:space="0" w:color="auto"/>
        <w:bottom w:val="none" w:sz="0" w:space="0" w:color="auto"/>
        <w:right w:val="none" w:sz="0" w:space="0" w:color="auto"/>
      </w:divBdr>
    </w:div>
    <w:div w:id="2142188264">
      <w:bodyDiv w:val="1"/>
      <w:marLeft w:val="0"/>
      <w:marRight w:val="0"/>
      <w:marTop w:val="0"/>
      <w:marBottom w:val="0"/>
      <w:divBdr>
        <w:top w:val="none" w:sz="0" w:space="0" w:color="auto"/>
        <w:left w:val="none" w:sz="0" w:space="0" w:color="auto"/>
        <w:bottom w:val="none" w:sz="0" w:space="0" w:color="auto"/>
        <w:right w:val="none" w:sz="0" w:space="0" w:color="auto"/>
      </w:divBdr>
    </w:div>
    <w:div w:id="2143300524">
      <w:bodyDiv w:val="1"/>
      <w:marLeft w:val="0"/>
      <w:marRight w:val="0"/>
      <w:marTop w:val="0"/>
      <w:marBottom w:val="0"/>
      <w:divBdr>
        <w:top w:val="none" w:sz="0" w:space="0" w:color="auto"/>
        <w:left w:val="none" w:sz="0" w:space="0" w:color="auto"/>
        <w:bottom w:val="none" w:sz="0" w:space="0" w:color="auto"/>
        <w:right w:val="none" w:sz="0" w:space="0" w:color="auto"/>
      </w:divBdr>
      <w:divsChild>
        <w:div w:id="843980767">
          <w:marLeft w:val="547"/>
          <w:marRight w:val="0"/>
          <w:marTop w:val="154"/>
          <w:marBottom w:val="0"/>
          <w:divBdr>
            <w:top w:val="none" w:sz="0" w:space="0" w:color="auto"/>
            <w:left w:val="none" w:sz="0" w:space="0" w:color="auto"/>
            <w:bottom w:val="none" w:sz="0" w:space="0" w:color="auto"/>
            <w:right w:val="none" w:sz="0" w:space="0" w:color="auto"/>
          </w:divBdr>
        </w:div>
        <w:div w:id="9170534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68/2016" TargetMode="External"/><Relationship Id="rId18" Type="http://schemas.openxmlformats.org/officeDocument/2006/relationships/image" Target="media/image2.tmp"/><Relationship Id="rId26" Type="http://schemas.openxmlformats.org/officeDocument/2006/relationships/hyperlink" Target="https://www.facebook.com/pereselentsam/?fref=ts" TargetMode="External"/><Relationship Id="rId39" Type="http://schemas.openxmlformats.org/officeDocument/2006/relationships/hyperlink" Target="http://dhrp.org.ua/en/news/1217-20160431-en" TargetMode="External"/><Relationship Id="rId21" Type="http://schemas.openxmlformats.org/officeDocument/2006/relationships/hyperlink" Target="http://data.rada.gov.ua/open" TargetMode="External"/><Relationship Id="rId34" Type="http://schemas.openxmlformats.org/officeDocument/2006/relationships/hyperlink" Target="https://issuu.com/olenaursu/docs/exit_strategy" TargetMode="External"/><Relationship Id="rId42" Type="http://schemas.openxmlformats.org/officeDocument/2006/relationships/hyperlink" Target="http://www.p21.org/storage/documents/Reimagining_Citizenship_for_21st_Century_webversion.pdf" TargetMode="External"/><Relationship Id="rId47" Type="http://schemas.openxmlformats.org/officeDocument/2006/relationships/hyperlink" Target="https://drive.google.com/file/d/0B6PWVKrwu4f4eWFOXzlZN0FlQzg/view?usp=sharin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ua.undp.org/content/ukraine/en/home/presscenter/pressreleases/2016/11/30/empowering-civil-society-to-advance-reforms-in-ukraine/" TargetMode="External"/><Relationship Id="rId11" Type="http://schemas.openxmlformats.org/officeDocument/2006/relationships/hyperlink" Target="mailto:olena.ursu@undp.org" TargetMode="External"/><Relationship Id="rId24" Type="http://schemas.openxmlformats.org/officeDocument/2006/relationships/hyperlink" Target="https://jfp.org.ua/rights/analityka/reports/coalition" TargetMode="External"/><Relationship Id="rId32" Type="http://schemas.openxmlformats.org/officeDocument/2006/relationships/hyperlink" Target="http://www.ua.undp.org/content/ukraine/en/home/operations/projects/democratic_governance/project_sample112112.html" TargetMode="External"/><Relationship Id="rId37" Type="http://schemas.openxmlformats.org/officeDocument/2006/relationships/hyperlink" Target="http://tbinternet.ohchr.org/Treaties/CEDAW/Shared%20Documents/UKR/INT_CEDAW_NGO_UKR_24631_E.pdf" TargetMode="External"/><Relationship Id="rId40" Type="http://schemas.openxmlformats.org/officeDocument/2006/relationships/hyperlink" Target="http://www.ua.undp.org/content/ukraine/en/home/presscenter/articles/2016/12/23/civil-society-organisations-trained-on-human-rights-based-approach.html" TargetMode="External"/><Relationship Id="rId45" Type="http://schemas.openxmlformats.org/officeDocument/2006/relationships/hyperlink" Target="https://drive.google.com/file/d/0B6PWVKrwu4f4emhvc0VzVzF4bUk/view?usp=sharing" TargetMode="External"/><Relationship Id="rId53" Type="http://schemas.openxmlformats.org/officeDocument/2006/relationships/customXml" Target="../customXml/item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ua.undp.org/content/ukraine/en/home/operations/projects/democratic_governance/project_sample112112.html" TargetMode="External"/><Relationship Id="rId44" Type="http://schemas.openxmlformats.org/officeDocument/2006/relationships/hyperlink" Target="https://drive.google.com/file/d/0B6PWVKrwu4f4M1REeWdadjdVd1E/view?usp=sharing" TargetMode="Externa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rp.org.ua/en/blog-publications/1165-20160421-en-publication" TargetMode="External"/><Relationship Id="rId22" Type="http://schemas.openxmlformats.org/officeDocument/2006/relationships/hyperlink" Target="https://rada4you.org/" TargetMode="External"/><Relationship Id="rId27" Type="http://schemas.openxmlformats.org/officeDocument/2006/relationships/hyperlink" Target="http://dhrp.org.ua/en/news/240-20131004-en" TargetMode="External"/><Relationship Id="rId30" Type="http://schemas.openxmlformats.org/officeDocument/2006/relationships/hyperlink" Target="http://www.ua.undp.org/content/ukraine/en/home/operations/projects/democratic_governance/strengthening-capacities-of-the-office-of-the-ombudsperson.html" TargetMode="External"/><Relationship Id="rId35" Type="http://schemas.openxmlformats.org/officeDocument/2006/relationships/hyperlink" Target="https://jfp.org.ua/system/reports/files/81/uk/Justice_for_Peace_in_Donbas_EUCCI_Gender-based_violence.pdf" TargetMode="External"/><Relationship Id="rId43" Type="http://schemas.openxmlformats.org/officeDocument/2006/relationships/hyperlink" Target="https://drive.google.com/file/d/0B6PWVKrwu4f4RzQwVHRpX3o1UDQ/view?usp=sharing" TargetMode="External"/><Relationship Id="rId48" Type="http://schemas.openxmlformats.org/officeDocument/2006/relationships/hyperlink" Target="https://drive.google.com/file/d/0B6PWVKrwu4f4RE5LMEtqeUxfcGc/view?usp=sharin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zakon5.rada.gov.ua/laws/show/68/2016" TargetMode="External"/><Relationship Id="rId17" Type="http://schemas.openxmlformats.org/officeDocument/2006/relationships/hyperlink" Target="http://dhrp.org.ua/en/news/240-20131004-en" TargetMode="External"/><Relationship Id="rId25" Type="http://schemas.openxmlformats.org/officeDocument/2006/relationships/hyperlink" Target="http://pereselennya.org/" TargetMode="External"/><Relationship Id="rId33" Type="http://schemas.openxmlformats.org/officeDocument/2006/relationships/hyperlink" Target="http://www.ua.undp.org/content/ukraine/en/home/operations/projects/democratic_governance/strengthening-capacities-of-the-office-of-the-ombudsperson.html" TargetMode="External"/><Relationship Id="rId38" Type="http://schemas.openxmlformats.org/officeDocument/2006/relationships/hyperlink" Target="http://dhrp.org.ua/en/blog-publications/1363-20160725-en-publication" TargetMode="External"/><Relationship Id="rId46" Type="http://schemas.openxmlformats.org/officeDocument/2006/relationships/hyperlink" Target="https://drive.google.com/file/d/0B6PWVKrwu4f4RG50UHdYTnltQWc/view?usp=sharing" TargetMode="External"/><Relationship Id="rId20" Type="http://schemas.openxmlformats.org/officeDocument/2006/relationships/hyperlink" Target="http://dhrp.org.ua/en/news/1276-20160622-en" TargetMode="External"/><Relationship Id="rId41" Type="http://schemas.openxmlformats.org/officeDocument/2006/relationships/hyperlink" Target="http://www.ua.undp.org/content/ukraine/en/home/presscenter/articles/2017/01/23/want-to-know-more-about-the-human-rights-based-approach-register-for-a-training-for-civic-activist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a.undp.org/content/ukraine/en/home/presscenter/articles/2016/08/04/ukraine-jumps-by-23-in-un-e-government-development-index-.html" TargetMode="External"/><Relationship Id="rId23" Type="http://schemas.openxmlformats.org/officeDocument/2006/relationships/hyperlink" Target="http://dhrp.org.ua/uk/publikatsii1/1226-20160517-ua-publication" TargetMode="External"/><Relationship Id="rId28" Type="http://schemas.openxmlformats.org/officeDocument/2006/relationships/hyperlink" Target="http://dhrp.org.ua/en/news/1159-20160422-en" TargetMode="External"/><Relationship Id="rId36" Type="http://schemas.openxmlformats.org/officeDocument/2006/relationships/hyperlink" Target="http://dhrp.org.ua/uk/publikatsii1/1623-20161219-ua-publication" TargetMode="External"/><Relationship Id="rId49" Type="http://schemas.openxmlformats.org/officeDocument/2006/relationships/hyperlink" Target="https://drive.google.com/file/d/0B6PWVKrwu4f4ZlNicVhWVzFzUk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2017-10-10T08:00:00+00:00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1691</Value>
      <Value>1</Value>
      <Value>763</Value>
    </TaxCatchAll>
    <c4e2ab2cc9354bbf9064eeb465a566ea xmlns="1ed4137b-41b2-488b-8250-6d369ec27664">
      <Terms xmlns="http://schemas.microsoft.com/office/infopath/2007/PartnerControls"/>
    </c4e2ab2cc9354bbf9064eeb465a566ea>
    <UndpProjectNo xmlns="1ed4137b-41b2-488b-8250-6d369ec27664">00071226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ATLASPDC-4-70043</_dlc_DocId>
    <_dlc_DocIdUrl xmlns="f1161f5b-24a3-4c2d-bc81-44cb9325e8ee">
      <Url>https://info.undp.org/docs/pdc/_layouts/DocIdRedir.aspx?ID=ATLASPDC-4-70043</Url>
      <Description>ATLASPDC-4-70043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B21489-A43E-4DA7-9F19-AC1FC0F1C062}"/>
</file>

<file path=customXml/itemProps2.xml><?xml version="1.0" encoding="utf-8"?>
<ds:datastoreItem xmlns:ds="http://schemas.openxmlformats.org/officeDocument/2006/customXml" ds:itemID="{49196B9C-FF56-4250-BA2F-1E22BC8975C9}">
  <ds:schemaRefs>
    <ds:schemaRef ds:uri="http://schemas.microsoft.com/sharepoint/v3/contenttype/forms"/>
  </ds:schemaRefs>
</ds:datastoreItem>
</file>

<file path=customXml/itemProps3.xml><?xml version="1.0" encoding="utf-8"?>
<ds:datastoreItem xmlns:ds="http://schemas.openxmlformats.org/officeDocument/2006/customXml" ds:itemID="{AEF51AB3-D70A-4F66-96C9-EBE9FA5F1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B9F89-0577-4956-8D3C-3EF26F693288}">
  <ds:schemaRefs>
    <ds:schemaRef ds:uri="http://schemas.openxmlformats.org/officeDocument/2006/bibliography"/>
  </ds:schemaRefs>
</ds:datastoreItem>
</file>

<file path=customXml/itemProps5.xml><?xml version="1.0" encoding="utf-8"?>
<ds:datastoreItem xmlns:ds="http://schemas.openxmlformats.org/officeDocument/2006/customXml" ds:itemID="{0B216A90-49D2-4BDB-9780-3C378F65CC3C}"/>
</file>

<file path=customXml/itemProps6.xml><?xml version="1.0" encoding="utf-8"?>
<ds:datastoreItem xmlns:ds="http://schemas.openxmlformats.org/officeDocument/2006/customXml" ds:itemID="{9B1D1420-CB4B-4ED1-AE41-3F439AF9D8D2}"/>
</file>

<file path=docProps/app.xml><?xml version="1.0" encoding="utf-8"?>
<Properties xmlns="http://schemas.openxmlformats.org/officeDocument/2006/extended-properties" xmlns:vt="http://schemas.openxmlformats.org/officeDocument/2006/docPropsVTypes">
  <Template>Normal</Template>
  <TotalTime>0</TotalTime>
  <Pages>21</Pages>
  <Words>11766</Words>
  <Characters>67068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Review  of Programme for Democratisation, Human Rights and Civil Society Development in Ukriane, Moldova adn Belarus (21012-2016)</vt:lpstr>
    </vt:vector>
  </TitlesOfParts>
  <LinksUpToDate>false</LinksUpToDate>
  <CharactersWithSpaces>78677</CharactersWithSpaces>
  <SharedDoc>false</SharedDoc>
  <HLinks>
    <vt:vector size="114" baseType="variant">
      <vt:variant>
        <vt:i4>1179696</vt:i4>
      </vt:variant>
      <vt:variant>
        <vt:i4>110</vt:i4>
      </vt:variant>
      <vt:variant>
        <vt:i4>0</vt:i4>
      </vt:variant>
      <vt:variant>
        <vt:i4>5</vt:i4>
      </vt:variant>
      <vt:variant>
        <vt:lpwstr/>
      </vt:variant>
      <vt:variant>
        <vt:lpwstr>_Toc307040050</vt:lpwstr>
      </vt:variant>
      <vt:variant>
        <vt:i4>1245232</vt:i4>
      </vt:variant>
      <vt:variant>
        <vt:i4>104</vt:i4>
      </vt:variant>
      <vt:variant>
        <vt:i4>0</vt:i4>
      </vt:variant>
      <vt:variant>
        <vt:i4>5</vt:i4>
      </vt:variant>
      <vt:variant>
        <vt:lpwstr/>
      </vt:variant>
      <vt:variant>
        <vt:lpwstr>_Toc307040049</vt:lpwstr>
      </vt:variant>
      <vt:variant>
        <vt:i4>1245232</vt:i4>
      </vt:variant>
      <vt:variant>
        <vt:i4>98</vt:i4>
      </vt:variant>
      <vt:variant>
        <vt:i4>0</vt:i4>
      </vt:variant>
      <vt:variant>
        <vt:i4>5</vt:i4>
      </vt:variant>
      <vt:variant>
        <vt:lpwstr/>
      </vt:variant>
      <vt:variant>
        <vt:lpwstr>_Toc307040048</vt:lpwstr>
      </vt:variant>
      <vt:variant>
        <vt:i4>1245232</vt:i4>
      </vt:variant>
      <vt:variant>
        <vt:i4>92</vt:i4>
      </vt:variant>
      <vt:variant>
        <vt:i4>0</vt:i4>
      </vt:variant>
      <vt:variant>
        <vt:i4>5</vt:i4>
      </vt:variant>
      <vt:variant>
        <vt:lpwstr/>
      </vt:variant>
      <vt:variant>
        <vt:lpwstr>_Toc307040047</vt:lpwstr>
      </vt:variant>
      <vt:variant>
        <vt:i4>1245232</vt:i4>
      </vt:variant>
      <vt:variant>
        <vt:i4>86</vt:i4>
      </vt:variant>
      <vt:variant>
        <vt:i4>0</vt:i4>
      </vt:variant>
      <vt:variant>
        <vt:i4>5</vt:i4>
      </vt:variant>
      <vt:variant>
        <vt:lpwstr/>
      </vt:variant>
      <vt:variant>
        <vt:lpwstr>_Toc307040046</vt:lpwstr>
      </vt:variant>
      <vt:variant>
        <vt:i4>1245232</vt:i4>
      </vt:variant>
      <vt:variant>
        <vt:i4>80</vt:i4>
      </vt:variant>
      <vt:variant>
        <vt:i4>0</vt:i4>
      </vt:variant>
      <vt:variant>
        <vt:i4>5</vt:i4>
      </vt:variant>
      <vt:variant>
        <vt:lpwstr/>
      </vt:variant>
      <vt:variant>
        <vt:lpwstr>_Toc307040045</vt:lpwstr>
      </vt:variant>
      <vt:variant>
        <vt:i4>1245232</vt:i4>
      </vt:variant>
      <vt:variant>
        <vt:i4>74</vt:i4>
      </vt:variant>
      <vt:variant>
        <vt:i4>0</vt:i4>
      </vt:variant>
      <vt:variant>
        <vt:i4>5</vt:i4>
      </vt:variant>
      <vt:variant>
        <vt:lpwstr/>
      </vt:variant>
      <vt:variant>
        <vt:lpwstr>_Toc307040044</vt:lpwstr>
      </vt:variant>
      <vt:variant>
        <vt:i4>1245232</vt:i4>
      </vt:variant>
      <vt:variant>
        <vt:i4>68</vt:i4>
      </vt:variant>
      <vt:variant>
        <vt:i4>0</vt:i4>
      </vt:variant>
      <vt:variant>
        <vt:i4>5</vt:i4>
      </vt:variant>
      <vt:variant>
        <vt:lpwstr/>
      </vt:variant>
      <vt:variant>
        <vt:lpwstr>_Toc307040043</vt:lpwstr>
      </vt:variant>
      <vt:variant>
        <vt:i4>1245232</vt:i4>
      </vt:variant>
      <vt:variant>
        <vt:i4>62</vt:i4>
      </vt:variant>
      <vt:variant>
        <vt:i4>0</vt:i4>
      </vt:variant>
      <vt:variant>
        <vt:i4>5</vt:i4>
      </vt:variant>
      <vt:variant>
        <vt:lpwstr/>
      </vt:variant>
      <vt:variant>
        <vt:lpwstr>_Toc307040042</vt:lpwstr>
      </vt:variant>
      <vt:variant>
        <vt:i4>1245232</vt:i4>
      </vt:variant>
      <vt:variant>
        <vt:i4>56</vt:i4>
      </vt:variant>
      <vt:variant>
        <vt:i4>0</vt:i4>
      </vt:variant>
      <vt:variant>
        <vt:i4>5</vt:i4>
      </vt:variant>
      <vt:variant>
        <vt:lpwstr/>
      </vt:variant>
      <vt:variant>
        <vt:lpwstr>_Toc307040041</vt:lpwstr>
      </vt:variant>
      <vt:variant>
        <vt:i4>1245232</vt:i4>
      </vt:variant>
      <vt:variant>
        <vt:i4>50</vt:i4>
      </vt:variant>
      <vt:variant>
        <vt:i4>0</vt:i4>
      </vt:variant>
      <vt:variant>
        <vt:i4>5</vt:i4>
      </vt:variant>
      <vt:variant>
        <vt:lpwstr/>
      </vt:variant>
      <vt:variant>
        <vt:lpwstr>_Toc307040040</vt:lpwstr>
      </vt:variant>
      <vt:variant>
        <vt:i4>1310768</vt:i4>
      </vt:variant>
      <vt:variant>
        <vt:i4>44</vt:i4>
      </vt:variant>
      <vt:variant>
        <vt:i4>0</vt:i4>
      </vt:variant>
      <vt:variant>
        <vt:i4>5</vt:i4>
      </vt:variant>
      <vt:variant>
        <vt:lpwstr/>
      </vt:variant>
      <vt:variant>
        <vt:lpwstr>_Toc307040039</vt:lpwstr>
      </vt:variant>
      <vt:variant>
        <vt:i4>1310768</vt:i4>
      </vt:variant>
      <vt:variant>
        <vt:i4>38</vt:i4>
      </vt:variant>
      <vt:variant>
        <vt:i4>0</vt:i4>
      </vt:variant>
      <vt:variant>
        <vt:i4>5</vt:i4>
      </vt:variant>
      <vt:variant>
        <vt:lpwstr/>
      </vt:variant>
      <vt:variant>
        <vt:lpwstr>_Toc307040038</vt:lpwstr>
      </vt:variant>
      <vt:variant>
        <vt:i4>1310768</vt:i4>
      </vt:variant>
      <vt:variant>
        <vt:i4>32</vt:i4>
      </vt:variant>
      <vt:variant>
        <vt:i4>0</vt:i4>
      </vt:variant>
      <vt:variant>
        <vt:i4>5</vt:i4>
      </vt:variant>
      <vt:variant>
        <vt:lpwstr/>
      </vt:variant>
      <vt:variant>
        <vt:lpwstr>_Toc307040037</vt:lpwstr>
      </vt:variant>
      <vt:variant>
        <vt:i4>1310768</vt:i4>
      </vt:variant>
      <vt:variant>
        <vt:i4>26</vt:i4>
      </vt:variant>
      <vt:variant>
        <vt:i4>0</vt:i4>
      </vt:variant>
      <vt:variant>
        <vt:i4>5</vt:i4>
      </vt:variant>
      <vt:variant>
        <vt:lpwstr/>
      </vt:variant>
      <vt:variant>
        <vt:lpwstr>_Toc307040036</vt:lpwstr>
      </vt:variant>
      <vt:variant>
        <vt:i4>1310768</vt:i4>
      </vt:variant>
      <vt:variant>
        <vt:i4>20</vt:i4>
      </vt:variant>
      <vt:variant>
        <vt:i4>0</vt:i4>
      </vt:variant>
      <vt:variant>
        <vt:i4>5</vt:i4>
      </vt:variant>
      <vt:variant>
        <vt:lpwstr/>
      </vt:variant>
      <vt:variant>
        <vt:lpwstr>_Toc307040035</vt:lpwstr>
      </vt:variant>
      <vt:variant>
        <vt:i4>1310768</vt:i4>
      </vt:variant>
      <vt:variant>
        <vt:i4>14</vt:i4>
      </vt:variant>
      <vt:variant>
        <vt:i4>0</vt:i4>
      </vt:variant>
      <vt:variant>
        <vt:i4>5</vt:i4>
      </vt:variant>
      <vt:variant>
        <vt:lpwstr/>
      </vt:variant>
      <vt:variant>
        <vt:lpwstr>_Toc307040034</vt:lpwstr>
      </vt:variant>
      <vt:variant>
        <vt:i4>1310768</vt:i4>
      </vt:variant>
      <vt:variant>
        <vt:i4>8</vt:i4>
      </vt:variant>
      <vt:variant>
        <vt:i4>0</vt:i4>
      </vt:variant>
      <vt:variant>
        <vt:i4>5</vt:i4>
      </vt:variant>
      <vt:variant>
        <vt:lpwstr/>
      </vt:variant>
      <vt:variant>
        <vt:lpwstr>_Toc307040033</vt:lpwstr>
      </vt:variant>
      <vt:variant>
        <vt:i4>1310768</vt:i4>
      </vt:variant>
      <vt:variant>
        <vt:i4>2</vt:i4>
      </vt:variant>
      <vt:variant>
        <vt:i4>0</vt:i4>
      </vt:variant>
      <vt:variant>
        <vt:i4>5</vt:i4>
      </vt:variant>
      <vt:variant>
        <vt:lpwstr/>
      </vt:variant>
      <vt:variant>
        <vt:lpwstr>_Toc307040032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Programme for Democratisation, Human Rights and Civil Society Development in Ukriane, Moldova adn Belarus (21012-2016)</dc:title>
  <dc:subject>Appraisal</dc:subject>
  <dc:creator/>
  <cp:keywords/>
  <dc:description/>
  <cp:lastModifiedBy/>
  <cp:revision>1</cp:revision>
  <dcterms:created xsi:type="dcterms:W3CDTF">2017-09-27T09:02:00Z</dcterms:created>
  <dcterms:modified xsi:type="dcterms:W3CDTF">2017-09-28T14:59:00Z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resentationUK">
    <vt:lpwstr>UFT</vt:lpwstr>
  </property>
  <property fmtid="{D5CDD505-2E9C-101B-9397-08002B2CF9AE}" pid="3" name="OrganisationUK">
    <vt:lpwstr/>
  </property>
  <property fmtid="{D5CDD505-2E9C-101B-9397-08002B2CF9AE}" pid="4" name="Coverage">
    <vt:lpwstr/>
  </property>
  <property fmtid="{D5CDD505-2E9C-101B-9397-08002B2CF9AE}" pid="5" name="Firm">
    <vt:lpwstr/>
  </property>
  <property fmtid="{D5CDD505-2E9C-101B-9397-08002B2CF9AE}" pid="6" name="Attention">
    <vt:lpwstr/>
  </property>
  <property fmtid="{D5CDD505-2E9C-101B-9397-08002B2CF9AE}" pid="7" name="FileNumber">
    <vt:lpwstr/>
  </property>
  <property fmtid="{D5CDD505-2E9C-101B-9397-08002B2CF9AE}" pid="8" name="DocumentNumber">
    <vt:lpwstr/>
  </property>
  <property fmtid="{D5CDD505-2E9C-101B-9397-08002B2CF9AE}" pid="9" name="ContentTypeId">
    <vt:lpwstr>0x010100F075C04BA242A84ABD3293E3AD35CDA400AB50428DC784B44FAACCAA5FAE40C0590045B5E632B552204ABF0E616DD66BDA0F</vt:lpwstr>
  </property>
  <property fmtid="{D5CDD505-2E9C-101B-9397-08002B2CF9AE}" pid="10" name="UNDPCountry">
    <vt:lpwstr/>
  </property>
  <property fmtid="{D5CDD505-2E9C-101B-9397-08002B2CF9AE}" pid="11" name="UNDPDocumentCategory">
    <vt:lpwstr/>
  </property>
  <property fmtid="{D5CDD505-2E9C-101B-9397-08002B2CF9AE}" pid="12" name="UN Languages">
    <vt:lpwstr>1;#English|7f98b732-4b5b-4b70-ba90-a0eff09b5d2d</vt:lpwstr>
  </property>
  <property fmtid="{D5CDD505-2E9C-101B-9397-08002B2CF9AE}" pid="13" name="Operating Unit0">
    <vt:lpwstr>1691;#UKR|ac2a8763-b8b1-4ebb-b99d-0d83724bc392</vt:lpwstr>
  </property>
  <property fmtid="{D5CDD505-2E9C-101B-9397-08002B2CF9AE}" pid="14" name="Atlas Document Status">
    <vt:lpwstr>763;#Draft|121d40a5-e62e-4d42-82e4-d6d12003de0a</vt:lpwstr>
  </property>
  <property fmtid="{D5CDD505-2E9C-101B-9397-08002B2CF9AE}" pid="15" name="Atlas Document Type">
    <vt:lpwstr>1111;#Donor Report|632012e1-2edc-436c-bf11-0ed9e79cd8fe</vt:lpwstr>
  </property>
  <property fmtid="{D5CDD505-2E9C-101B-9397-08002B2CF9AE}" pid="16" name="eRegFilingCodeMM">
    <vt:lpwstr/>
  </property>
  <property fmtid="{D5CDD505-2E9C-101B-9397-08002B2CF9AE}" pid="17" name="UndpUnitMM">
    <vt:lpwstr/>
  </property>
  <property fmtid="{D5CDD505-2E9C-101B-9397-08002B2CF9AE}" pid="18" name="UNDPFocusAreas">
    <vt:lpwstr/>
  </property>
  <property fmtid="{D5CDD505-2E9C-101B-9397-08002B2CF9AE}" pid="19" name="UndpDocTypeMM">
    <vt:lpwstr/>
  </property>
  <property fmtid="{D5CDD505-2E9C-101B-9397-08002B2CF9AE}" pid="20" name="_dlc_DocIdItemGuid">
    <vt:lpwstr>64a4bedb-b760-48e1-a51d-270753777713</vt:lpwstr>
  </property>
  <property fmtid="{D5CDD505-2E9C-101B-9397-08002B2CF9AE}" pid="21" name="DocumentSetDescription">
    <vt:lpwstr/>
  </property>
  <property fmtid="{D5CDD505-2E9C-101B-9397-08002B2CF9AE}" pid="22" name="UnitTaxHTField0">
    <vt:lpwstr/>
  </property>
  <property fmtid="{D5CDD505-2E9C-101B-9397-08002B2CF9AE}" pid="23" name="Unit">
    <vt:lpwstr/>
  </property>
  <property fmtid="{D5CDD505-2E9C-101B-9397-08002B2CF9AE}" pid="24" name="URL">
    <vt:lpwstr/>
  </property>
</Properties>
</file>